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B5C7" w14:textId="77777777" w:rsidR="00D26DDD" w:rsidRPr="008276A7" w:rsidRDefault="00834C0C" w:rsidP="00BC3BDF">
      <w:pPr>
        <w:pStyle w:val="Title"/>
        <w:jc w:val="center"/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</w:pPr>
      <w:r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Self-Insurance</w:t>
      </w:r>
      <w:r w:rsidR="00BC3BDF"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 xml:space="preserve"> </w:t>
      </w:r>
      <w:r w:rsidR="008F2939"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Governing Board</w:t>
      </w:r>
    </w:p>
    <w:p w14:paraId="4145711A" w14:textId="77777777" w:rsidR="00BC3BDF" w:rsidRPr="008276A7" w:rsidRDefault="00BC3BDF" w:rsidP="00BC3BDF">
      <w:pPr>
        <w:pStyle w:val="Title"/>
        <w:jc w:val="center"/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</w:pPr>
      <w:r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Meeting Minutes</w:t>
      </w:r>
    </w:p>
    <w:p w14:paraId="2010DC2C" w14:textId="33FED1BF" w:rsidR="00BC3BDF" w:rsidRPr="008276A7" w:rsidRDefault="00F0107B" w:rsidP="00BC3BDF">
      <w:pPr>
        <w:pStyle w:val="Title"/>
        <w:jc w:val="center"/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 xml:space="preserve">Virtual Meeting </w:t>
      </w:r>
      <w:r w:rsidR="007F38D9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 xml:space="preserve">January </w:t>
      </w:r>
      <w:r w:rsidR="000178F5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27,2025</w:t>
      </w:r>
    </w:p>
    <w:p w14:paraId="41DB42C6" w14:textId="77777777" w:rsidR="008600B8" w:rsidRDefault="00BC3BDF" w:rsidP="00BC3BDF">
      <w:pPr>
        <w:tabs>
          <w:tab w:val="left" w:pos="1440"/>
        </w:tabs>
      </w:pPr>
      <w:r>
        <w:t xml:space="preserve">Attendance: </w:t>
      </w:r>
      <w:r>
        <w:tab/>
      </w:r>
      <w:r w:rsidR="008600B8">
        <w:t xml:space="preserve">Mark Gassaway, Finance Director </w:t>
      </w:r>
    </w:p>
    <w:p w14:paraId="1D77AC04" w14:textId="0E308A7A" w:rsidR="000229AF" w:rsidRDefault="003968B2" w:rsidP="00F0107B">
      <w:r>
        <w:tab/>
      </w:r>
      <w:r>
        <w:tab/>
      </w:r>
      <w:r w:rsidR="007F38D9">
        <w:t>Sara Lowe, Deputy Treasurer</w:t>
      </w:r>
    </w:p>
    <w:p w14:paraId="2E8E6C1F" w14:textId="5A39A5F5" w:rsidR="008600B8" w:rsidRDefault="008600B8" w:rsidP="003968B2">
      <w:pPr>
        <w:tabs>
          <w:tab w:val="left" w:pos="1440"/>
        </w:tabs>
      </w:pPr>
      <w:r>
        <w:tab/>
      </w:r>
      <w:r w:rsidR="007F38D9">
        <w:t>Emily Zwetzig, Budget Director</w:t>
      </w:r>
    </w:p>
    <w:p w14:paraId="1EF59836" w14:textId="01BD6230" w:rsidR="000178F5" w:rsidRDefault="000178F5" w:rsidP="003968B2">
      <w:pPr>
        <w:tabs>
          <w:tab w:val="left" w:pos="1440"/>
        </w:tabs>
      </w:pPr>
      <w:r>
        <w:tab/>
        <w:t>Lora Provolt, Human Resources Director</w:t>
      </w:r>
    </w:p>
    <w:p w14:paraId="6AA7C051" w14:textId="75E8D738" w:rsidR="007F38D9" w:rsidRDefault="007F38D9" w:rsidP="003968B2">
      <w:pPr>
        <w:tabs>
          <w:tab w:val="left" w:pos="1440"/>
        </w:tabs>
      </w:pPr>
      <w:r>
        <w:tab/>
      </w:r>
      <w:r w:rsidR="000178F5">
        <w:t>Chris Cook, Chief Civil Deputy Prosecuting Attorney</w:t>
      </w:r>
      <w:r>
        <w:t xml:space="preserve"> </w:t>
      </w:r>
    </w:p>
    <w:p w14:paraId="4C03B2A3" w14:textId="0C92B234" w:rsidR="00F0107B" w:rsidRDefault="00F0107B" w:rsidP="003968B2">
      <w:pPr>
        <w:tabs>
          <w:tab w:val="left" w:pos="1440"/>
        </w:tabs>
      </w:pPr>
      <w:r>
        <w:tab/>
        <w:t>Amie Johnson, Board Chair</w:t>
      </w:r>
    </w:p>
    <w:p w14:paraId="28D6AA18" w14:textId="77777777" w:rsidR="00533301" w:rsidRDefault="00533301" w:rsidP="00533301">
      <w:pPr>
        <w:ind w:left="720" w:firstLine="720"/>
      </w:pPr>
      <w:r>
        <w:t>Maria Vergis, Scribe</w:t>
      </w:r>
    </w:p>
    <w:p w14:paraId="4E482379" w14:textId="77777777" w:rsidR="000229AF" w:rsidRDefault="000229AF" w:rsidP="00260F8E"/>
    <w:p w14:paraId="5C512686" w14:textId="77777777" w:rsidR="000178F5" w:rsidRDefault="000178F5" w:rsidP="000229AF">
      <w:r>
        <w:t>Guests: Jenna Gillam (Aon)</w:t>
      </w:r>
    </w:p>
    <w:p w14:paraId="42A698E3" w14:textId="77777777" w:rsidR="000178F5" w:rsidRDefault="000178F5" w:rsidP="000229AF">
      <w:r>
        <w:tab/>
        <w:t>Jennifer Weddle (Aon)</w:t>
      </w:r>
    </w:p>
    <w:p w14:paraId="18EA2B6A" w14:textId="6D29D080" w:rsidR="0067701D" w:rsidRDefault="0067701D" w:rsidP="000229AF">
      <w:r>
        <w:tab/>
        <w:t>Marie Pollock, Director of Audits, CTI</w:t>
      </w:r>
    </w:p>
    <w:p w14:paraId="70C16A94" w14:textId="77777777" w:rsidR="0067701D" w:rsidRDefault="000178F5" w:rsidP="000229AF">
      <w:r>
        <w:tab/>
        <w:t>Jenene Williams</w:t>
      </w:r>
      <w:r w:rsidR="0067701D">
        <w:t>,</w:t>
      </w:r>
      <w:r>
        <w:t xml:space="preserve"> Account Executive</w:t>
      </w:r>
      <w:r w:rsidR="0067701D">
        <w:t>, CTI</w:t>
      </w:r>
    </w:p>
    <w:p w14:paraId="0E1BD62F" w14:textId="0C0BDF4E" w:rsidR="007F38D9" w:rsidRDefault="0067701D" w:rsidP="000229AF">
      <w:r>
        <w:tab/>
        <w:t xml:space="preserve">Julie Weissman, Pharmacy Leader, </w:t>
      </w:r>
      <w:proofErr w:type="spellStart"/>
      <w:r>
        <w:t>PillarRx</w:t>
      </w:r>
      <w:proofErr w:type="spellEnd"/>
      <w:r>
        <w:t xml:space="preserve">  </w:t>
      </w:r>
      <w:r w:rsidR="000229AF">
        <w:tab/>
      </w:r>
    </w:p>
    <w:p w14:paraId="2C475FC5" w14:textId="77777777" w:rsidR="0067701D" w:rsidRDefault="0067701D" w:rsidP="000229AF"/>
    <w:p w14:paraId="5C8AAB75" w14:textId="4CEA14C7" w:rsidR="006C7785" w:rsidRPr="00D559A3" w:rsidRDefault="006C7785" w:rsidP="000229AF">
      <w:pPr>
        <w:rPr>
          <w:b/>
          <w:bCs/>
        </w:rPr>
      </w:pPr>
      <w:r w:rsidRPr="00D559A3">
        <w:rPr>
          <w:b/>
          <w:bCs/>
        </w:rPr>
        <w:t xml:space="preserve">Approval of meeting minutes from </w:t>
      </w:r>
      <w:r w:rsidR="00DF1D5E" w:rsidRPr="00D559A3">
        <w:rPr>
          <w:b/>
          <w:bCs/>
        </w:rPr>
        <w:t>8/1/24 and 9/12/24-All</w:t>
      </w:r>
    </w:p>
    <w:p w14:paraId="2E4367F4" w14:textId="77777777" w:rsidR="00D077B2" w:rsidRDefault="00D077B2" w:rsidP="00FA68AF">
      <w:pPr>
        <w:pStyle w:val="ListParagraph"/>
        <w:numPr>
          <w:ilvl w:val="0"/>
          <w:numId w:val="25"/>
        </w:numPr>
      </w:pPr>
      <w:r>
        <w:t>Mark Gassaway moved to approve the minutes.</w:t>
      </w:r>
    </w:p>
    <w:p w14:paraId="5E5FC9E6" w14:textId="0CE293E3" w:rsidR="007F38D9" w:rsidRDefault="00D077B2" w:rsidP="00FA68AF">
      <w:pPr>
        <w:pStyle w:val="ListParagraph"/>
        <w:numPr>
          <w:ilvl w:val="0"/>
          <w:numId w:val="25"/>
        </w:numPr>
      </w:pPr>
      <w:r>
        <w:t>Emily Zwetzig seconded the motion.</w:t>
      </w:r>
    </w:p>
    <w:p w14:paraId="7C5DEE1B" w14:textId="6C7DCE1E" w:rsidR="00D077B2" w:rsidRPr="00D077B2" w:rsidRDefault="00D077B2" w:rsidP="00FA68AF">
      <w:pPr>
        <w:pStyle w:val="ListParagraph"/>
        <w:numPr>
          <w:ilvl w:val="0"/>
          <w:numId w:val="25"/>
        </w:numPr>
      </w:pPr>
      <w:r>
        <w:t>All in favor, the minutes were approved.</w:t>
      </w:r>
    </w:p>
    <w:p w14:paraId="0D0F43B5" w14:textId="77777777" w:rsidR="006D49EF" w:rsidRDefault="006D49EF" w:rsidP="000229AF">
      <w:pPr>
        <w:rPr>
          <w:b/>
          <w:bCs/>
          <w:highlight w:val="yellow"/>
        </w:rPr>
      </w:pPr>
    </w:p>
    <w:p w14:paraId="6312D975" w14:textId="78415E70" w:rsidR="006D49EF" w:rsidRDefault="00D559A3" w:rsidP="000229AF">
      <w:pPr>
        <w:rPr>
          <w:b/>
          <w:bCs/>
        </w:rPr>
      </w:pPr>
      <w:r>
        <w:rPr>
          <w:b/>
          <w:bCs/>
        </w:rPr>
        <w:t>2024 Self-Insured Claims Audit Results-CTI</w:t>
      </w:r>
    </w:p>
    <w:p w14:paraId="72388734" w14:textId="16A5C14E" w:rsidR="00E42E10" w:rsidRDefault="006205C0" w:rsidP="00B5487E">
      <w:pPr>
        <w:pStyle w:val="ListParagraph"/>
        <w:numPr>
          <w:ilvl w:val="0"/>
          <w:numId w:val="25"/>
        </w:numPr>
      </w:pPr>
      <w:r w:rsidRPr="00D00194">
        <w:t xml:space="preserve">The State Office of Risk Management (ORM) has standards </w:t>
      </w:r>
      <w:r w:rsidR="00D00194">
        <w:t>for</w:t>
      </w:r>
      <w:r w:rsidRPr="00D00194">
        <w:t xml:space="preserve"> claim</w:t>
      </w:r>
      <w:r w:rsidR="00D00194">
        <w:t>s</w:t>
      </w:r>
      <w:r w:rsidRPr="00D00194">
        <w:t xml:space="preserve"> </w:t>
      </w:r>
      <w:r w:rsidR="00D202EF" w:rsidRPr="00D00194">
        <w:t xml:space="preserve">management </w:t>
      </w:r>
      <w:r w:rsidR="00D00194">
        <w:t>of</w:t>
      </w:r>
      <w:r w:rsidRPr="00D00194">
        <w:t xml:space="preserve"> Self-Insurance programs (WAC 200-110-120)</w:t>
      </w:r>
      <w:r w:rsidR="00D00194">
        <w:t>.  Self-Insurance programs are required to obtain a claims</w:t>
      </w:r>
      <w:r w:rsidR="006928B6">
        <w:t xml:space="preserve"> audit</w:t>
      </w:r>
      <w:r w:rsidR="00D00194">
        <w:t xml:space="preserve"> every </w:t>
      </w:r>
      <w:r w:rsidRPr="00D00194">
        <w:t>3 years.</w:t>
      </w:r>
      <w:r w:rsidR="00E42E10">
        <w:t xml:space="preserve">  </w:t>
      </w:r>
    </w:p>
    <w:p w14:paraId="316CFC73" w14:textId="79157B0A" w:rsidR="00A32708" w:rsidRDefault="00E42E10" w:rsidP="00205A30">
      <w:pPr>
        <w:pStyle w:val="ListParagraph"/>
        <w:numPr>
          <w:ilvl w:val="0"/>
          <w:numId w:val="25"/>
        </w:numPr>
      </w:pPr>
      <w:r>
        <w:t xml:space="preserve">The audit period was July 1, 2022, through December 31, 2023.  </w:t>
      </w:r>
      <w:r w:rsidR="00A32708">
        <w:t>The objective of CTI’s medical claim audit was to ensure the contract was followed and that claims were paid according to plan document</w:t>
      </w:r>
      <w:r>
        <w:t xml:space="preserve">s.  </w:t>
      </w:r>
    </w:p>
    <w:p w14:paraId="7A70187F" w14:textId="402175D2" w:rsidR="00E42E10" w:rsidRDefault="00E42E10" w:rsidP="00205A30">
      <w:pPr>
        <w:pStyle w:val="ListParagraph"/>
        <w:numPr>
          <w:ilvl w:val="0"/>
          <w:numId w:val="25"/>
        </w:numPr>
      </w:pPr>
      <w:r>
        <w:t xml:space="preserve">The audit components included a random sample size of 125 claims and </w:t>
      </w:r>
      <w:r w:rsidR="00184113">
        <w:t xml:space="preserve">a target sample of </w:t>
      </w:r>
      <w:r>
        <w:t>30 claims.</w:t>
      </w:r>
    </w:p>
    <w:p w14:paraId="41F85CD2" w14:textId="6305F662" w:rsidR="00E42E10" w:rsidRDefault="00E42E10" w:rsidP="00205A30">
      <w:pPr>
        <w:pStyle w:val="ListParagraph"/>
        <w:numPr>
          <w:ilvl w:val="0"/>
          <w:numId w:val="25"/>
        </w:numPr>
      </w:pPr>
      <w:r>
        <w:t>CTI perform</w:t>
      </w:r>
      <w:r w:rsidR="00AB01BF">
        <w:t>ed</w:t>
      </w:r>
      <w:r>
        <w:t xml:space="preserve"> an operational review using an extensive questionnaire tool for the following processes.</w:t>
      </w:r>
    </w:p>
    <w:p w14:paraId="236B6C1E" w14:textId="11B1549B" w:rsidR="00E42E10" w:rsidRDefault="00E42E10" w:rsidP="00E42E10">
      <w:pPr>
        <w:pStyle w:val="ListParagraph"/>
        <w:numPr>
          <w:ilvl w:val="1"/>
          <w:numId w:val="25"/>
        </w:numPr>
      </w:pPr>
      <w:r>
        <w:t>Plan documentation analysis</w:t>
      </w:r>
    </w:p>
    <w:p w14:paraId="4AFAB748" w14:textId="6E793022" w:rsidR="00E42E10" w:rsidRDefault="00E42E10" w:rsidP="00E42E10">
      <w:pPr>
        <w:pStyle w:val="ListParagraph"/>
        <w:numPr>
          <w:ilvl w:val="1"/>
          <w:numId w:val="25"/>
        </w:numPr>
      </w:pPr>
      <w:r>
        <w:t xml:space="preserve">Eligibility verification </w:t>
      </w:r>
    </w:p>
    <w:p w14:paraId="222CABC1" w14:textId="6FF59291" w:rsidR="00E42E10" w:rsidRDefault="00E42E10" w:rsidP="00E42E10">
      <w:pPr>
        <w:pStyle w:val="ListParagraph"/>
        <w:numPr>
          <w:ilvl w:val="1"/>
          <w:numId w:val="25"/>
        </w:numPr>
      </w:pPr>
      <w:r>
        <w:t>Stop Loss review</w:t>
      </w:r>
    </w:p>
    <w:p w14:paraId="15731DD2" w14:textId="3B04CA16" w:rsidR="00607EA7" w:rsidRDefault="00607EA7" w:rsidP="00E42E10">
      <w:pPr>
        <w:pStyle w:val="ListParagraph"/>
        <w:numPr>
          <w:ilvl w:val="1"/>
          <w:numId w:val="25"/>
        </w:numPr>
      </w:pPr>
      <w:r>
        <w:t>Data analytics to review provider discounts, correct coding, and compliance</w:t>
      </w:r>
    </w:p>
    <w:p w14:paraId="2C6DED32" w14:textId="41C98489" w:rsidR="00607EA7" w:rsidRDefault="00607EA7" w:rsidP="00E42E10">
      <w:pPr>
        <w:pStyle w:val="ListParagraph"/>
        <w:numPr>
          <w:ilvl w:val="1"/>
          <w:numId w:val="25"/>
        </w:numPr>
      </w:pPr>
      <w:r>
        <w:t>Incurred But Not Paid Estimation</w:t>
      </w:r>
    </w:p>
    <w:p w14:paraId="6E7DC603" w14:textId="77777777" w:rsidR="00097ABF" w:rsidRDefault="00097ABF" w:rsidP="00097ABF">
      <w:pPr>
        <w:pStyle w:val="ListParagraph"/>
        <w:ind w:left="1440"/>
      </w:pPr>
    </w:p>
    <w:p w14:paraId="7BD0BBE8" w14:textId="2BEA1BEA" w:rsidR="00097ABF" w:rsidRDefault="00097ABF" w:rsidP="00097ABF">
      <w:pPr>
        <w:pStyle w:val="ListParagraph"/>
        <w:numPr>
          <w:ilvl w:val="0"/>
          <w:numId w:val="25"/>
        </w:numPr>
      </w:pPr>
      <w:r>
        <w:t>The audit summary</w:t>
      </w:r>
      <w:r w:rsidR="00595FCC">
        <w:t xml:space="preserve"> for this period.</w:t>
      </w:r>
    </w:p>
    <w:p w14:paraId="34BF6EE0" w14:textId="2A4B8635" w:rsidR="00607EA7" w:rsidRDefault="00534872" w:rsidP="00534872">
      <w:pPr>
        <w:pStyle w:val="ListParagraph"/>
        <w:numPr>
          <w:ilvl w:val="1"/>
          <w:numId w:val="25"/>
        </w:numPr>
      </w:pPr>
      <w:r>
        <w:t>Total paid amount $</w:t>
      </w:r>
      <w:r w:rsidR="00595FCC">
        <w:t>21,972,765.</w:t>
      </w:r>
    </w:p>
    <w:p w14:paraId="73F85911" w14:textId="5083CF05" w:rsidR="00595FCC" w:rsidRDefault="00595FCC" w:rsidP="00534872">
      <w:pPr>
        <w:pStyle w:val="ListParagraph"/>
        <w:numPr>
          <w:ilvl w:val="1"/>
          <w:numId w:val="25"/>
        </w:numPr>
      </w:pPr>
      <w:r>
        <w:t>Number of claims processed 69,486</w:t>
      </w:r>
    </w:p>
    <w:p w14:paraId="6CEC1164" w14:textId="6AEE4DBD" w:rsidR="00595FCC" w:rsidRDefault="00595FCC" w:rsidP="00534872">
      <w:pPr>
        <w:pStyle w:val="ListParagraph"/>
        <w:numPr>
          <w:ilvl w:val="1"/>
          <w:numId w:val="25"/>
        </w:numPr>
      </w:pPr>
      <w:r>
        <w:t>Median turn-around time 21 days</w:t>
      </w:r>
    </w:p>
    <w:p w14:paraId="095841D3" w14:textId="53A65884" w:rsidR="00595FCC" w:rsidRDefault="00595FCC" w:rsidP="00595FCC">
      <w:pPr>
        <w:pStyle w:val="ListParagraph"/>
        <w:numPr>
          <w:ilvl w:val="0"/>
          <w:numId w:val="25"/>
        </w:numPr>
      </w:pPr>
      <w:r>
        <w:t>Key performance Indicators</w:t>
      </w:r>
      <w:r w:rsidR="00354582">
        <w:t>.</w:t>
      </w:r>
    </w:p>
    <w:p w14:paraId="75BD8D0A" w14:textId="532940EC" w:rsidR="00354582" w:rsidRDefault="00354582" w:rsidP="00354582">
      <w:pPr>
        <w:pStyle w:val="ListParagraph"/>
        <w:numPr>
          <w:ilvl w:val="1"/>
          <w:numId w:val="25"/>
        </w:numPr>
      </w:pPr>
      <w:r>
        <w:t>Financial accuracy 96.75%</w:t>
      </w:r>
    </w:p>
    <w:p w14:paraId="36E11925" w14:textId="70AC81E9" w:rsidR="00354582" w:rsidRDefault="00354582" w:rsidP="00354582">
      <w:pPr>
        <w:pStyle w:val="ListParagraph"/>
        <w:numPr>
          <w:ilvl w:val="1"/>
          <w:numId w:val="25"/>
        </w:numPr>
      </w:pPr>
      <w:r>
        <w:t>Accurate payment 96.00%</w:t>
      </w:r>
    </w:p>
    <w:p w14:paraId="0F9CC21D" w14:textId="2500C23B" w:rsidR="00354582" w:rsidRDefault="00354582" w:rsidP="00354582">
      <w:pPr>
        <w:pStyle w:val="ListParagraph"/>
        <w:numPr>
          <w:ilvl w:val="1"/>
          <w:numId w:val="25"/>
        </w:numPr>
      </w:pPr>
      <w:r>
        <w:t>Accurate processing 96.00%</w:t>
      </w:r>
    </w:p>
    <w:p w14:paraId="16BBFBD5" w14:textId="3F9C32B1" w:rsidR="0021679D" w:rsidRDefault="0021679D" w:rsidP="0021679D">
      <w:pPr>
        <w:pStyle w:val="ListParagraph"/>
        <w:numPr>
          <w:ilvl w:val="0"/>
          <w:numId w:val="25"/>
        </w:numPr>
      </w:pPr>
      <w:r>
        <w:t>Regence findings and recommendations.</w:t>
      </w:r>
    </w:p>
    <w:p w14:paraId="716D81C0" w14:textId="254BDA66" w:rsidR="00F22D65" w:rsidRDefault="00F22D65" w:rsidP="00F22D65">
      <w:pPr>
        <w:pStyle w:val="ListParagraph"/>
        <w:numPr>
          <w:ilvl w:val="1"/>
          <w:numId w:val="25"/>
        </w:numPr>
      </w:pPr>
      <w:r>
        <w:t>Random sample of 125 claims.</w:t>
      </w:r>
    </w:p>
    <w:p w14:paraId="5ED493C7" w14:textId="33A1C201" w:rsidR="0021679D" w:rsidRDefault="0021679D" w:rsidP="00F22D65">
      <w:pPr>
        <w:pStyle w:val="ListParagraph"/>
        <w:numPr>
          <w:ilvl w:val="2"/>
          <w:numId w:val="25"/>
        </w:numPr>
      </w:pPr>
      <w:r>
        <w:t xml:space="preserve">A claim was rejected by a member’s primary insurance due to </w:t>
      </w:r>
      <w:r w:rsidR="007A0A2B">
        <w:t xml:space="preserve">a </w:t>
      </w:r>
      <w:r>
        <w:t>timely filing limit</w:t>
      </w:r>
      <w:r w:rsidR="00BA5C0C">
        <w:t>ation</w:t>
      </w:r>
      <w:r>
        <w:t xml:space="preserve">.  Regence paid </w:t>
      </w:r>
      <w:r w:rsidR="006438FF">
        <w:t xml:space="preserve">a claim for </w:t>
      </w:r>
      <w:r>
        <w:t xml:space="preserve">$77.19 as the secondary payer.  CTI doesn’t believe the county should have </w:t>
      </w:r>
      <w:r w:rsidR="00D14232">
        <w:t xml:space="preserve">to </w:t>
      </w:r>
      <w:r w:rsidR="00FD1B94">
        <w:t>pa</w:t>
      </w:r>
      <w:r w:rsidR="00D14232">
        <w:t>y</w:t>
      </w:r>
      <w:r>
        <w:t xml:space="preserve"> the cost </w:t>
      </w:r>
      <w:r w:rsidR="00FD1B94">
        <w:t>for</w:t>
      </w:r>
      <w:r>
        <w:t xml:space="preserve"> the provider’s untimeliness</w:t>
      </w:r>
      <w:r w:rsidR="007E7ECD">
        <w:t xml:space="preserve">.  </w:t>
      </w:r>
      <w:r>
        <w:t xml:space="preserve">Regence </w:t>
      </w:r>
      <w:r w:rsidR="00BE1EDD">
        <w:t>disagreed with</w:t>
      </w:r>
      <w:r w:rsidR="007E7ECD">
        <w:t xml:space="preserve"> the error.</w:t>
      </w:r>
    </w:p>
    <w:p w14:paraId="4C1D2A5E" w14:textId="6BAEB8F3" w:rsidR="007E7ECD" w:rsidRDefault="007E7ECD" w:rsidP="00F22D65">
      <w:pPr>
        <w:pStyle w:val="ListParagraph"/>
        <w:numPr>
          <w:ilvl w:val="2"/>
          <w:numId w:val="25"/>
        </w:numPr>
      </w:pPr>
      <w:r>
        <w:t>Regence applied a co-insurance to a COVID diagnosis prior to the end of the public health emergency which caused an underpayment.</w:t>
      </w:r>
    </w:p>
    <w:p w14:paraId="22CFA620" w14:textId="0A0D28EA" w:rsidR="007E7ECD" w:rsidRDefault="007E7ECD" w:rsidP="00F22D65">
      <w:pPr>
        <w:pStyle w:val="ListParagraph"/>
        <w:numPr>
          <w:ilvl w:val="2"/>
          <w:numId w:val="25"/>
        </w:numPr>
      </w:pPr>
      <w:r>
        <w:t>CTI identified a duplicate claim which resulted in an $1,735.29 overpayment.</w:t>
      </w:r>
    </w:p>
    <w:p w14:paraId="05B5DF7D" w14:textId="6341D28C" w:rsidR="007E7ECD" w:rsidRDefault="007131EC" w:rsidP="00F22D65">
      <w:pPr>
        <w:pStyle w:val="ListParagraph"/>
        <w:numPr>
          <w:ilvl w:val="2"/>
          <w:numId w:val="25"/>
        </w:numPr>
      </w:pPr>
      <w:r>
        <w:t>There were two claims that had incorrect provider discounts applied.  One was a $44,544.26 underpayment and the other was a $23,145.40 overpayment.  Regence identified and corrected these claims prior to the audit.</w:t>
      </w:r>
    </w:p>
    <w:p w14:paraId="31792100" w14:textId="1E1B8910" w:rsidR="007131EC" w:rsidRDefault="00077FC2" w:rsidP="00F22D65">
      <w:pPr>
        <w:pStyle w:val="ListParagraph"/>
        <w:numPr>
          <w:ilvl w:val="2"/>
          <w:numId w:val="25"/>
        </w:numPr>
      </w:pPr>
      <w:r>
        <w:t>CTI suggested that Regence send two claims to its Special Investigations Unit (SIU) and report the findings to the county.  Regence agreed to send these claims to its SIU.</w:t>
      </w:r>
    </w:p>
    <w:p w14:paraId="49445245" w14:textId="77777777" w:rsidR="00077FC2" w:rsidRDefault="00077FC2" w:rsidP="00077FC2">
      <w:pPr>
        <w:pStyle w:val="ListParagraph"/>
        <w:numPr>
          <w:ilvl w:val="2"/>
          <w:numId w:val="25"/>
        </w:numPr>
      </w:pPr>
      <w:r>
        <w:t>Claim #1-member with 37 claims for testosterone injections during audit period.</w:t>
      </w:r>
    </w:p>
    <w:p w14:paraId="60AD77EB" w14:textId="76BA89CE" w:rsidR="00077FC2" w:rsidRDefault="00077FC2" w:rsidP="00077FC2">
      <w:pPr>
        <w:pStyle w:val="ListParagraph"/>
        <w:numPr>
          <w:ilvl w:val="2"/>
          <w:numId w:val="25"/>
        </w:numPr>
      </w:pPr>
      <w:r>
        <w:t>Claim#2-provider billed 10.5 hours for applied behavior analysis therapy on the same date.  Member’s claim history showed this billing trend.</w:t>
      </w:r>
    </w:p>
    <w:p w14:paraId="33E5BF11" w14:textId="67AC7047" w:rsidR="00077FC2" w:rsidRDefault="009D7AF9" w:rsidP="00F22D65">
      <w:pPr>
        <w:pStyle w:val="ListParagraph"/>
        <w:numPr>
          <w:ilvl w:val="2"/>
          <w:numId w:val="25"/>
        </w:numPr>
      </w:pPr>
      <w:r>
        <w:t>CTI found that a BlueCard claim for an office visit was processed 7 months after receipt.</w:t>
      </w:r>
      <w:r w:rsidR="002764A2">
        <w:t xml:space="preserve">  CTI suggested that Regence ask the out of state Blues insurance plan about the delay and report the findings to the county.</w:t>
      </w:r>
    </w:p>
    <w:p w14:paraId="2B6F86B1" w14:textId="237E4FBC" w:rsidR="001274F1" w:rsidRDefault="001274F1" w:rsidP="0021679D">
      <w:pPr>
        <w:pStyle w:val="ListParagraph"/>
        <w:numPr>
          <w:ilvl w:val="1"/>
          <w:numId w:val="25"/>
        </w:numPr>
      </w:pPr>
      <w:r>
        <w:t>100% Electronic Screening with 30 targeted samples.</w:t>
      </w:r>
    </w:p>
    <w:p w14:paraId="162AA022" w14:textId="60E8420C" w:rsidR="002B6FBE" w:rsidRDefault="002B6FBE" w:rsidP="001274F1">
      <w:pPr>
        <w:pStyle w:val="ListParagraph"/>
        <w:numPr>
          <w:ilvl w:val="2"/>
          <w:numId w:val="25"/>
        </w:numPr>
      </w:pPr>
      <w:r>
        <w:t xml:space="preserve">Regence applied the Expanded immunization benefit </w:t>
      </w:r>
      <w:r w:rsidR="009A36B2">
        <w:t>to an immunization</w:t>
      </w:r>
      <w:r>
        <w:t xml:space="preserve"> claim</w:t>
      </w:r>
      <w:r w:rsidR="009A36B2">
        <w:t xml:space="preserve"> that </w:t>
      </w:r>
      <w:r w:rsidR="00D25AA5">
        <w:t>should</w:t>
      </w:r>
      <w:r w:rsidR="009A36B2">
        <w:t xml:space="preserve"> have been processed as preventive.  This </w:t>
      </w:r>
      <w:r w:rsidR="00F95B07">
        <w:t>caused</w:t>
      </w:r>
      <w:r>
        <w:t xml:space="preserve"> a $40 member cost share error.  Regence disagree</w:t>
      </w:r>
      <w:r w:rsidR="00B5387F">
        <w:t>d</w:t>
      </w:r>
      <w:r>
        <w:t xml:space="preserve"> </w:t>
      </w:r>
      <w:r w:rsidR="00FA2143">
        <w:t>with the</w:t>
      </w:r>
      <w:r>
        <w:t xml:space="preserve"> error.</w:t>
      </w:r>
    </w:p>
    <w:p w14:paraId="5EECA282" w14:textId="0C792780" w:rsidR="00595FCC" w:rsidRDefault="0098344C" w:rsidP="0098344C">
      <w:pPr>
        <w:pStyle w:val="ListParagraph"/>
        <w:numPr>
          <w:ilvl w:val="0"/>
          <w:numId w:val="25"/>
        </w:numPr>
      </w:pPr>
      <w:r>
        <w:t>Operational Review</w:t>
      </w:r>
    </w:p>
    <w:p w14:paraId="4398502F" w14:textId="0249AE96" w:rsidR="002C67D2" w:rsidRDefault="008A30AE" w:rsidP="002C67D2">
      <w:pPr>
        <w:pStyle w:val="ListParagraph"/>
        <w:numPr>
          <w:ilvl w:val="1"/>
          <w:numId w:val="25"/>
        </w:numPr>
      </w:pPr>
      <w:r>
        <w:t xml:space="preserve">CTI said there are numerous performance standards.  Some </w:t>
      </w:r>
      <w:r w:rsidR="0031387F">
        <w:t xml:space="preserve">standards </w:t>
      </w:r>
      <w:r>
        <w:t>are set at the Regence Book of Business (BOB) level</w:t>
      </w:r>
      <w:r w:rsidR="00E25DFC">
        <w:t xml:space="preserve"> that shows combined performance </w:t>
      </w:r>
      <w:r w:rsidR="00105FC5">
        <w:t>result</w:t>
      </w:r>
      <w:r w:rsidR="00E25DFC">
        <w:t>s</w:t>
      </w:r>
      <w:r w:rsidR="00105FC5">
        <w:t xml:space="preserve">.  </w:t>
      </w:r>
      <w:r>
        <w:t>The county should discuss whether performance can be tracked at the client level only.</w:t>
      </w:r>
    </w:p>
    <w:p w14:paraId="7F81E78E" w14:textId="38738A4F" w:rsidR="00C36312" w:rsidRDefault="00C36312" w:rsidP="002C67D2">
      <w:pPr>
        <w:pStyle w:val="ListParagraph"/>
        <w:numPr>
          <w:ilvl w:val="1"/>
          <w:numId w:val="25"/>
        </w:numPr>
      </w:pPr>
      <w:r>
        <w:t>Regence subcontracted with two India-based vendors to assist with claims processing. The county should confirm awareness and approval of Regence’s offshore subcontracting.</w:t>
      </w:r>
    </w:p>
    <w:p w14:paraId="336E02D2" w14:textId="6E53D636" w:rsidR="00C36312" w:rsidRDefault="00A24FCE" w:rsidP="002C67D2">
      <w:pPr>
        <w:pStyle w:val="ListParagraph"/>
        <w:numPr>
          <w:ilvl w:val="1"/>
          <w:numId w:val="25"/>
        </w:numPr>
      </w:pPr>
      <w:r>
        <w:lastRenderedPageBreak/>
        <w:t>The county does not receive an</w:t>
      </w:r>
      <w:r w:rsidR="00D428A8">
        <w:t>y</w:t>
      </w:r>
      <w:r>
        <w:t xml:space="preserve"> rebates for specialty drugs.  </w:t>
      </w:r>
      <w:r w:rsidR="00D428A8">
        <w:t>Rebate sharing is very common</w:t>
      </w:r>
      <w:r w:rsidR="00417603">
        <w:t xml:space="preserve"> for specialty drugs</w:t>
      </w:r>
      <w:r w:rsidR="00D428A8">
        <w:t xml:space="preserve">.  Therefore, if Regence is receiving rebates </w:t>
      </w:r>
      <w:r w:rsidR="00812097">
        <w:t xml:space="preserve">so should the county.  The county should take the necessary steps </w:t>
      </w:r>
      <w:r w:rsidR="00DB2775">
        <w:t>for rebate sharing.</w:t>
      </w:r>
    </w:p>
    <w:p w14:paraId="7F2DBF9B" w14:textId="6D1500D9" w:rsidR="000C4F68" w:rsidRDefault="00121C6B" w:rsidP="002C67D2">
      <w:pPr>
        <w:pStyle w:val="ListParagraph"/>
        <w:numPr>
          <w:ilvl w:val="1"/>
          <w:numId w:val="25"/>
        </w:numPr>
      </w:pPr>
      <w:r>
        <w:t>The county should request additional reports about the effectiveness of its operations.</w:t>
      </w:r>
    </w:p>
    <w:p w14:paraId="396D7C82" w14:textId="2A7B4A8D" w:rsidR="00121C6B" w:rsidRDefault="00121C6B" w:rsidP="00121C6B">
      <w:pPr>
        <w:pStyle w:val="ListParagraph"/>
        <w:numPr>
          <w:ilvl w:val="2"/>
          <w:numId w:val="25"/>
        </w:numPr>
      </w:pPr>
      <w:r>
        <w:t xml:space="preserve">Quarterly </w:t>
      </w:r>
      <w:r w:rsidR="0076509D">
        <w:t>report</w:t>
      </w:r>
      <w:r w:rsidR="00A006A2">
        <w:t>s</w:t>
      </w:r>
      <w:r w:rsidR="0076509D">
        <w:t xml:space="preserve"> for </w:t>
      </w:r>
      <w:r>
        <w:t>case and disease management program</w:t>
      </w:r>
      <w:r w:rsidR="00CA227C">
        <w:t>s</w:t>
      </w:r>
      <w:r w:rsidR="0076509D">
        <w:t xml:space="preserve"> </w:t>
      </w:r>
      <w:r>
        <w:t xml:space="preserve">to </w:t>
      </w:r>
      <w:r w:rsidR="00A00172">
        <w:t>review</w:t>
      </w:r>
      <w:r>
        <w:t xml:space="preserve"> timely outreach, participant rates, and annual return on investment.</w:t>
      </w:r>
    </w:p>
    <w:p w14:paraId="0D508720" w14:textId="5408AA1C" w:rsidR="00121C6B" w:rsidRDefault="00CA227C" w:rsidP="00121C6B">
      <w:pPr>
        <w:pStyle w:val="ListParagraph"/>
        <w:numPr>
          <w:ilvl w:val="2"/>
          <w:numId w:val="25"/>
        </w:numPr>
      </w:pPr>
      <w:r>
        <w:t>Quarterly appeal</w:t>
      </w:r>
      <w:r w:rsidR="00A00172">
        <w:t xml:space="preserve"> report</w:t>
      </w:r>
      <w:r w:rsidR="00521380">
        <w:t>s</w:t>
      </w:r>
      <w:r w:rsidR="00A00172">
        <w:t xml:space="preserve"> to </w:t>
      </w:r>
      <w:r w:rsidR="009749A3">
        <w:t>review upheld and overturn rates.</w:t>
      </w:r>
    </w:p>
    <w:p w14:paraId="3DC1EF5D" w14:textId="6CED2D33" w:rsidR="00997392" w:rsidRDefault="007A6747" w:rsidP="00121C6B">
      <w:pPr>
        <w:pStyle w:val="ListParagraph"/>
        <w:numPr>
          <w:ilvl w:val="2"/>
          <w:numId w:val="25"/>
        </w:numPr>
      </w:pPr>
      <w:r>
        <w:t>Quarterly coordination of benefits, subrogation, and other recovery reports.</w:t>
      </w:r>
    </w:p>
    <w:p w14:paraId="3912F6DA" w14:textId="5F84516D" w:rsidR="0098344C" w:rsidRDefault="00BA43B5" w:rsidP="00BA43B5">
      <w:pPr>
        <w:pStyle w:val="ListParagraph"/>
        <w:numPr>
          <w:ilvl w:val="0"/>
          <w:numId w:val="25"/>
        </w:numPr>
      </w:pPr>
      <w:r>
        <w:t>Eligibility Screening</w:t>
      </w:r>
    </w:p>
    <w:p w14:paraId="290EC16E" w14:textId="5E3A9E3A" w:rsidR="00F97766" w:rsidRDefault="00F97766" w:rsidP="00F97766">
      <w:pPr>
        <w:pStyle w:val="ListParagraph"/>
        <w:numPr>
          <w:ilvl w:val="1"/>
          <w:numId w:val="25"/>
        </w:numPr>
      </w:pPr>
      <w:r>
        <w:t>Claims paid after termination of employee coverage totaled $700.11.</w:t>
      </w:r>
    </w:p>
    <w:p w14:paraId="4A4A5F62" w14:textId="102C16C7" w:rsidR="00F97766" w:rsidRDefault="00F97766" w:rsidP="00F97766">
      <w:pPr>
        <w:pStyle w:val="ListParagraph"/>
        <w:numPr>
          <w:ilvl w:val="0"/>
          <w:numId w:val="25"/>
        </w:numPr>
      </w:pPr>
      <w:r>
        <w:t>Stop Loss</w:t>
      </w:r>
    </w:p>
    <w:p w14:paraId="267022AA" w14:textId="184DB9A4" w:rsidR="001269A2" w:rsidRDefault="001269A2" w:rsidP="001269A2">
      <w:pPr>
        <w:pStyle w:val="ListParagraph"/>
        <w:numPr>
          <w:ilvl w:val="1"/>
          <w:numId w:val="25"/>
        </w:numPr>
      </w:pPr>
      <w:r>
        <w:t>In 2022, two claimants exceeded limit.</w:t>
      </w:r>
    </w:p>
    <w:p w14:paraId="4E2A031C" w14:textId="4B0FCEB3" w:rsidR="001269A2" w:rsidRDefault="001269A2" w:rsidP="001269A2">
      <w:pPr>
        <w:pStyle w:val="ListParagraph"/>
        <w:numPr>
          <w:ilvl w:val="1"/>
          <w:numId w:val="25"/>
        </w:numPr>
      </w:pPr>
      <w:r>
        <w:t xml:space="preserve">In 2023, eight claimants </w:t>
      </w:r>
      <w:r w:rsidR="00660494">
        <w:t>exceeded limit.</w:t>
      </w:r>
    </w:p>
    <w:p w14:paraId="2BD18B77" w14:textId="7D437A8C" w:rsidR="00660494" w:rsidRDefault="00660494" w:rsidP="001269A2">
      <w:pPr>
        <w:pStyle w:val="ListParagraph"/>
        <w:numPr>
          <w:ilvl w:val="1"/>
          <w:numId w:val="25"/>
        </w:numPr>
      </w:pPr>
      <w:r>
        <w:t>Stop loss credits for 2022 in aggregate w</w:t>
      </w:r>
      <w:r w:rsidR="00B325F0">
        <w:t>ere</w:t>
      </w:r>
      <w:r>
        <w:t xml:space="preserve"> $230,671.44.</w:t>
      </w:r>
    </w:p>
    <w:p w14:paraId="08088923" w14:textId="10930A3B" w:rsidR="00660494" w:rsidRDefault="00660494" w:rsidP="001269A2">
      <w:pPr>
        <w:pStyle w:val="ListParagraph"/>
        <w:numPr>
          <w:ilvl w:val="1"/>
          <w:numId w:val="25"/>
        </w:numPr>
      </w:pPr>
      <w:r>
        <w:t>Stop loss credits for 2023 in aggregate w</w:t>
      </w:r>
      <w:r w:rsidR="00B325F0">
        <w:t>ere</w:t>
      </w:r>
      <w:r>
        <w:t xml:space="preserve"> $1,279,625.84.</w:t>
      </w:r>
    </w:p>
    <w:p w14:paraId="715CC194" w14:textId="4430B687" w:rsidR="00660494" w:rsidRDefault="00660494" w:rsidP="001269A2">
      <w:pPr>
        <w:pStyle w:val="ListParagraph"/>
        <w:numPr>
          <w:ilvl w:val="1"/>
          <w:numId w:val="25"/>
        </w:numPr>
      </w:pPr>
      <w:r>
        <w:t>The county should confirm receipt of 2022 and 2023 stop loss credits.</w:t>
      </w:r>
    </w:p>
    <w:p w14:paraId="27F1415F" w14:textId="08B8F5E3" w:rsidR="00327830" w:rsidRDefault="00327830" w:rsidP="00327830">
      <w:pPr>
        <w:pStyle w:val="ListParagraph"/>
        <w:numPr>
          <w:ilvl w:val="0"/>
          <w:numId w:val="25"/>
        </w:numPr>
      </w:pPr>
      <w:r>
        <w:t>Data Analytics</w:t>
      </w:r>
    </w:p>
    <w:p w14:paraId="49F7DFBD" w14:textId="0536E13A" w:rsidR="00CF0D40" w:rsidRDefault="00232792" w:rsidP="00CF0D40">
      <w:pPr>
        <w:pStyle w:val="ListParagraph"/>
        <w:numPr>
          <w:ilvl w:val="1"/>
          <w:numId w:val="25"/>
        </w:numPr>
      </w:pPr>
      <w:r>
        <w:t>99% of claims are received electronically.</w:t>
      </w:r>
    </w:p>
    <w:p w14:paraId="19744F39" w14:textId="060D0199" w:rsidR="00232792" w:rsidRDefault="00232792" w:rsidP="00CF0D40">
      <w:pPr>
        <w:pStyle w:val="ListParagraph"/>
        <w:numPr>
          <w:ilvl w:val="1"/>
          <w:numId w:val="25"/>
        </w:numPr>
      </w:pPr>
      <w:r>
        <w:t>91.6% of claims were auto adjudicated.</w:t>
      </w:r>
    </w:p>
    <w:p w14:paraId="5ED0A9C0" w14:textId="366F5576" w:rsidR="00232792" w:rsidRDefault="000B2C6F" w:rsidP="00CF0D40">
      <w:pPr>
        <w:pStyle w:val="ListParagraph"/>
        <w:numPr>
          <w:ilvl w:val="1"/>
          <w:numId w:val="25"/>
        </w:numPr>
      </w:pPr>
      <w:r>
        <w:t xml:space="preserve">Regence reported </w:t>
      </w:r>
      <w:r w:rsidR="00FA4F40">
        <w:t xml:space="preserve">a </w:t>
      </w:r>
      <w:r>
        <w:t xml:space="preserve">42.8% provider discount for </w:t>
      </w:r>
      <w:r w:rsidR="00FA4F40">
        <w:t xml:space="preserve">the </w:t>
      </w:r>
      <w:r>
        <w:t xml:space="preserve">audit period.  CTI calculated </w:t>
      </w:r>
      <w:r w:rsidR="00FA4F40">
        <w:t xml:space="preserve">the discount rate at </w:t>
      </w:r>
      <w:r>
        <w:t>45.7%.</w:t>
      </w:r>
    </w:p>
    <w:p w14:paraId="3C5ACB86" w14:textId="73D854D2" w:rsidR="000B2C6F" w:rsidRDefault="000B2C6F" w:rsidP="00CF0D40">
      <w:pPr>
        <w:pStyle w:val="ListParagraph"/>
        <w:numPr>
          <w:ilvl w:val="1"/>
          <w:numId w:val="25"/>
        </w:numPr>
      </w:pPr>
      <w:r>
        <w:t>Coordination of benefit savings was $2,103,814.61, which is 9.57% of total claims paid.</w:t>
      </w:r>
    </w:p>
    <w:p w14:paraId="33A6AD9A" w14:textId="77777777" w:rsidR="008672F5" w:rsidRDefault="008672F5" w:rsidP="00FA4F40"/>
    <w:p w14:paraId="7860BA6C" w14:textId="6D36215B" w:rsidR="00FA4F40" w:rsidRPr="00FA4F40" w:rsidRDefault="00FA4F40" w:rsidP="00FA4F40">
      <w:r w:rsidRPr="00FA4F40">
        <w:t xml:space="preserve">Mark </w:t>
      </w:r>
      <w:r w:rsidR="008672F5">
        <w:t>asked if CTI shares its findings with Regence.  Regence receives a working draft report to respond to the findings.  CTI will include the</w:t>
      </w:r>
      <w:r w:rsidR="00FE0648">
        <w:t xml:space="preserve"> Regence</w:t>
      </w:r>
      <w:r w:rsidR="008672F5">
        <w:t xml:space="preserve"> response </w:t>
      </w:r>
      <w:r w:rsidR="00416B58">
        <w:t>in</w:t>
      </w:r>
      <w:r w:rsidR="008672F5">
        <w:t xml:space="preserve"> the final report.</w:t>
      </w:r>
    </w:p>
    <w:p w14:paraId="168E99AB" w14:textId="77777777" w:rsidR="0098344C" w:rsidRDefault="0098344C" w:rsidP="00595FCC"/>
    <w:p w14:paraId="4CF3BFC1" w14:textId="27B19631" w:rsidR="0098344C" w:rsidRDefault="00B21E42" w:rsidP="00595FCC">
      <w:r>
        <w:t>Pharmacy Audit (</w:t>
      </w:r>
      <w:proofErr w:type="spellStart"/>
      <w:r>
        <w:t>PillarRx</w:t>
      </w:r>
      <w:proofErr w:type="spellEnd"/>
      <w:r>
        <w:t>)</w:t>
      </w:r>
    </w:p>
    <w:p w14:paraId="12166DD6" w14:textId="1B103FC8" w:rsidR="006A7169" w:rsidRDefault="00675EAA" w:rsidP="004E3092">
      <w:pPr>
        <w:pStyle w:val="ListParagraph"/>
        <w:numPr>
          <w:ilvl w:val="0"/>
          <w:numId w:val="25"/>
        </w:numPr>
      </w:pPr>
      <w:r>
        <w:t xml:space="preserve">The objectives were </w:t>
      </w:r>
      <w:r w:rsidR="00F8348A">
        <w:t xml:space="preserve">to </w:t>
      </w:r>
      <w:r w:rsidR="006A7169">
        <w:t xml:space="preserve">validate whether </w:t>
      </w:r>
      <w:r w:rsidR="00F8348A">
        <w:t>Regence followed the terms of the contract with the county</w:t>
      </w:r>
      <w:r w:rsidR="006A7169">
        <w:t>.  Validation include</w:t>
      </w:r>
      <w:r w:rsidR="001846A5">
        <w:t>d</w:t>
      </w:r>
      <w:r w:rsidR="00127D16">
        <w:t xml:space="preserve"> the</w:t>
      </w:r>
      <w:r w:rsidR="006A7169">
        <w:t xml:space="preserve"> review of discounts and dispensing fees to determine if they were applied correctly.</w:t>
      </w:r>
    </w:p>
    <w:p w14:paraId="429600D9" w14:textId="17490B82" w:rsidR="00F8463E" w:rsidRDefault="00F14D0D" w:rsidP="004E3092">
      <w:pPr>
        <w:pStyle w:val="ListParagraph"/>
        <w:numPr>
          <w:ilvl w:val="0"/>
          <w:numId w:val="25"/>
        </w:numPr>
      </w:pPr>
      <w:r>
        <w:t>Audit Summary</w:t>
      </w:r>
    </w:p>
    <w:p w14:paraId="2A24A189" w14:textId="5698E602" w:rsidR="00F14D0D" w:rsidRDefault="00404245" w:rsidP="00404245">
      <w:pPr>
        <w:pStyle w:val="ListParagraph"/>
        <w:numPr>
          <w:ilvl w:val="1"/>
          <w:numId w:val="25"/>
        </w:numPr>
      </w:pPr>
      <w:r>
        <w:t>Total paid claims from July 1, 2022, through December 31, 2022.</w:t>
      </w:r>
    </w:p>
    <w:p w14:paraId="1BB570F3" w14:textId="044B11BF" w:rsidR="00404245" w:rsidRDefault="00404245" w:rsidP="00404245">
      <w:pPr>
        <w:pStyle w:val="ListParagraph"/>
        <w:numPr>
          <w:ilvl w:val="2"/>
          <w:numId w:val="25"/>
        </w:numPr>
      </w:pPr>
      <w:r>
        <w:t>$1,874,537.25.</w:t>
      </w:r>
    </w:p>
    <w:p w14:paraId="208B0B89" w14:textId="45E08341" w:rsidR="00404245" w:rsidRDefault="00404245" w:rsidP="00404245">
      <w:pPr>
        <w:pStyle w:val="ListParagraph"/>
        <w:numPr>
          <w:ilvl w:val="2"/>
          <w:numId w:val="25"/>
        </w:numPr>
      </w:pPr>
      <w:r>
        <w:t>Number of claims processed 10,465.</w:t>
      </w:r>
    </w:p>
    <w:p w14:paraId="15C2E87C" w14:textId="4718506B" w:rsidR="00404245" w:rsidRDefault="00404245" w:rsidP="00404245">
      <w:pPr>
        <w:pStyle w:val="ListParagraph"/>
        <w:numPr>
          <w:ilvl w:val="1"/>
          <w:numId w:val="25"/>
        </w:numPr>
      </w:pPr>
      <w:r>
        <w:t>Total paid claims from January 1, 2023, through December 31, 2023.</w:t>
      </w:r>
    </w:p>
    <w:p w14:paraId="480BAB3D" w14:textId="67D32741" w:rsidR="00404245" w:rsidRDefault="00404245" w:rsidP="00404245">
      <w:pPr>
        <w:pStyle w:val="ListParagraph"/>
        <w:numPr>
          <w:ilvl w:val="2"/>
          <w:numId w:val="25"/>
        </w:numPr>
      </w:pPr>
      <w:r>
        <w:t>$4,989,620.22.</w:t>
      </w:r>
    </w:p>
    <w:p w14:paraId="4F688144" w14:textId="1DA46957" w:rsidR="00404245" w:rsidRDefault="00404245" w:rsidP="00404245">
      <w:pPr>
        <w:pStyle w:val="ListParagraph"/>
        <w:numPr>
          <w:ilvl w:val="2"/>
          <w:numId w:val="25"/>
        </w:numPr>
      </w:pPr>
      <w:r>
        <w:t>Number of claims processed 22,159, which is a significant increase from 2022.</w:t>
      </w:r>
    </w:p>
    <w:p w14:paraId="31D179BC" w14:textId="73CF471E" w:rsidR="001C0D85" w:rsidRDefault="001C0D85" w:rsidP="001C0D85">
      <w:pPr>
        <w:pStyle w:val="ListParagraph"/>
        <w:numPr>
          <w:ilvl w:val="0"/>
          <w:numId w:val="25"/>
        </w:numPr>
      </w:pPr>
      <w:r>
        <w:t>Discount Performance Summary</w:t>
      </w:r>
      <w:r w:rsidR="00157210">
        <w:t xml:space="preserve"> for Rx </w:t>
      </w:r>
      <w:r w:rsidR="00795556">
        <w:t>claims</w:t>
      </w:r>
    </w:p>
    <w:p w14:paraId="2DBA073D" w14:textId="42705E2E" w:rsidR="00113682" w:rsidRDefault="006D7562" w:rsidP="00BE04DE">
      <w:pPr>
        <w:pStyle w:val="ListParagraph"/>
        <w:numPr>
          <w:ilvl w:val="1"/>
          <w:numId w:val="25"/>
        </w:numPr>
      </w:pPr>
      <w:r>
        <w:t>For the period July 1, 2022</w:t>
      </w:r>
      <w:r w:rsidR="008D2A1A">
        <w:t>,</w:t>
      </w:r>
      <w:r>
        <w:t xml:space="preserve"> through December 31, 2022, </w:t>
      </w:r>
      <w:proofErr w:type="spellStart"/>
      <w:r>
        <w:t>PillarRx</w:t>
      </w:r>
      <w:proofErr w:type="spellEnd"/>
      <w:r>
        <w:t xml:space="preserve"> identified an under</w:t>
      </w:r>
      <w:r w:rsidR="001846A5">
        <w:t>-</w:t>
      </w:r>
      <w:r>
        <w:t xml:space="preserve">performance of $12,255 based on </w:t>
      </w:r>
      <w:r w:rsidR="001846A5">
        <w:t xml:space="preserve">the </w:t>
      </w:r>
      <w:r>
        <w:t xml:space="preserve">partial year of auditing data.  </w:t>
      </w:r>
      <w:r w:rsidR="00BA7646">
        <w:t>The performance result is the</w:t>
      </w:r>
      <w:r w:rsidR="00795556">
        <w:t xml:space="preserve"> difference between the contract ingr</w:t>
      </w:r>
      <w:r w:rsidR="00C1521C">
        <w:t xml:space="preserve">edient cost and the actual ingredient </w:t>
      </w:r>
      <w:r w:rsidR="00C1521C">
        <w:lastRenderedPageBreak/>
        <w:t xml:space="preserve">cost.  </w:t>
      </w:r>
      <w:r w:rsidR="008F2B9C">
        <w:t>T</w:t>
      </w:r>
      <w:r w:rsidR="00C1521C">
        <w:t>he</w:t>
      </w:r>
      <w:r w:rsidR="008F2B9C">
        <w:t xml:space="preserve"> </w:t>
      </w:r>
      <w:r w:rsidR="003255C3">
        <w:t xml:space="preserve">underperformance </w:t>
      </w:r>
      <w:r w:rsidR="008F2B9C">
        <w:t>amount co</w:t>
      </w:r>
      <w:r w:rsidR="00795556">
        <w:t>u</w:t>
      </w:r>
      <w:r w:rsidR="008F2B9C">
        <w:t>ld not be validated since the aggregate over/under performance amounts are calculated on an annual basis.</w:t>
      </w:r>
    </w:p>
    <w:p w14:paraId="23498F99" w14:textId="52531BAF" w:rsidR="006D7562" w:rsidRDefault="00113682" w:rsidP="006D7562">
      <w:pPr>
        <w:pStyle w:val="ListParagraph"/>
        <w:numPr>
          <w:ilvl w:val="1"/>
          <w:numId w:val="25"/>
        </w:numPr>
      </w:pPr>
      <w:r>
        <w:t xml:space="preserve">For the period January 1, 2023, through December 31, 2023, </w:t>
      </w:r>
      <w:proofErr w:type="spellStart"/>
      <w:r>
        <w:t>PillarRx</w:t>
      </w:r>
      <w:proofErr w:type="spellEnd"/>
      <w:r>
        <w:t xml:space="preserve"> identified an over-performance of $99,694</w:t>
      </w:r>
      <w:r w:rsidR="00157210">
        <w:t>, which is considered a plan savings</w:t>
      </w:r>
      <w:r w:rsidR="00476EA8">
        <w:t xml:space="preserve"> for 2023</w:t>
      </w:r>
      <w:r w:rsidR="00157210">
        <w:t xml:space="preserve">.  </w:t>
      </w:r>
      <w:r w:rsidR="006D7562">
        <w:t xml:space="preserve"> </w:t>
      </w:r>
    </w:p>
    <w:p w14:paraId="3621E1B8" w14:textId="132D88F9" w:rsidR="00404245" w:rsidRDefault="00BE7237" w:rsidP="00BE7237">
      <w:pPr>
        <w:pStyle w:val="ListParagraph"/>
        <w:numPr>
          <w:ilvl w:val="0"/>
          <w:numId w:val="25"/>
        </w:numPr>
      </w:pPr>
      <w:r>
        <w:t>Dispensing Fee Summary</w:t>
      </w:r>
    </w:p>
    <w:p w14:paraId="5ADDAAF2" w14:textId="0F0DFE68" w:rsidR="00836D04" w:rsidRDefault="00836D04" w:rsidP="00836D04">
      <w:pPr>
        <w:pStyle w:val="ListParagraph"/>
        <w:numPr>
          <w:ilvl w:val="1"/>
          <w:numId w:val="25"/>
        </w:numPr>
      </w:pPr>
      <w:r>
        <w:t>For the period July 1, 2022, through December 31, 2022</w:t>
      </w:r>
      <w:r w:rsidR="0061326C">
        <w:t xml:space="preserve">, </w:t>
      </w:r>
      <w:proofErr w:type="spellStart"/>
      <w:r w:rsidR="0061326C">
        <w:t>PillarRx</w:t>
      </w:r>
      <w:proofErr w:type="spellEnd"/>
      <w:r w:rsidR="0061326C">
        <w:t xml:space="preserve"> identified an over-collection of $129 in dispensing fees based on the partial year of auditing data.</w:t>
      </w:r>
      <w:r w:rsidR="00BA7646">
        <w:t xml:space="preserve">  </w:t>
      </w:r>
      <w:r w:rsidR="003255C3">
        <w:t xml:space="preserve">The performance result is the difference between the contract dispensing fee and the actual dispensing fee.  The </w:t>
      </w:r>
      <w:r w:rsidR="006356DF">
        <w:t>over-collection amount could not be validated since the over/under collection amounts are calculated on an annual basis.</w:t>
      </w:r>
    </w:p>
    <w:p w14:paraId="508D3EF3" w14:textId="43D80938" w:rsidR="00D162F5" w:rsidRDefault="00D162F5" w:rsidP="00A4129F">
      <w:pPr>
        <w:pStyle w:val="ListParagraph"/>
        <w:numPr>
          <w:ilvl w:val="1"/>
          <w:numId w:val="25"/>
        </w:numPr>
      </w:pPr>
      <w:r>
        <w:t xml:space="preserve">For the period January 1, 2023, through December 31, 2023, </w:t>
      </w:r>
      <w:proofErr w:type="spellStart"/>
      <w:r>
        <w:t>PillarRx</w:t>
      </w:r>
      <w:proofErr w:type="spellEnd"/>
      <w:r>
        <w:t xml:space="preserve"> identified an under-collection of $401 in dispensing fees, which means the contract dispensing fee was less than the actual dispensing fee.  This is considered a plan savings for 2023.  </w:t>
      </w:r>
    </w:p>
    <w:p w14:paraId="4662F7CF" w14:textId="7B77FC67" w:rsidR="00D00194" w:rsidRDefault="004D31BC" w:rsidP="004D31BC">
      <w:pPr>
        <w:pStyle w:val="ListParagraph"/>
        <w:numPr>
          <w:ilvl w:val="0"/>
          <w:numId w:val="25"/>
        </w:numPr>
      </w:pPr>
      <w:r w:rsidRPr="004D31BC">
        <w:t>Combined Discount and Dispensing Fee</w:t>
      </w:r>
    </w:p>
    <w:p w14:paraId="79DE1BC7" w14:textId="7089A073" w:rsidR="004F178A" w:rsidRDefault="004F178A" w:rsidP="004F178A">
      <w:pPr>
        <w:pStyle w:val="ListParagraph"/>
        <w:numPr>
          <w:ilvl w:val="1"/>
          <w:numId w:val="25"/>
        </w:numPr>
      </w:pPr>
      <w:r>
        <w:t xml:space="preserve">For the period July 1, 2022, through December 31, 2022, </w:t>
      </w:r>
      <w:proofErr w:type="spellStart"/>
      <w:r>
        <w:t>PillarRx</w:t>
      </w:r>
      <w:proofErr w:type="spellEnd"/>
      <w:r>
        <w:t xml:space="preserve"> identified an overall underperformance of $12,384.96.  This performance result could not be validated since the aggregate over/under performance amounts are calculated on an annual basis.</w:t>
      </w:r>
    </w:p>
    <w:p w14:paraId="4846E78E" w14:textId="671C83E8" w:rsidR="004F178A" w:rsidRPr="004D31BC" w:rsidRDefault="00C63B22" w:rsidP="004F178A">
      <w:pPr>
        <w:pStyle w:val="ListParagraph"/>
        <w:numPr>
          <w:ilvl w:val="1"/>
          <w:numId w:val="25"/>
        </w:numPr>
      </w:pPr>
      <w:r>
        <w:t xml:space="preserve">For the period January 1, 2023, through December 31, 2023, </w:t>
      </w:r>
      <w:proofErr w:type="spellStart"/>
      <w:r>
        <w:t>PillarRx</w:t>
      </w:r>
      <w:proofErr w:type="spellEnd"/>
      <w:r>
        <w:t xml:space="preserve"> calculated an over performance or plan savings of $100,000, which is s</w:t>
      </w:r>
      <w:r w:rsidR="003624DC">
        <w:t>lightly more than the Regence calculated amount.</w:t>
      </w:r>
    </w:p>
    <w:p w14:paraId="5D696243" w14:textId="64D08B32" w:rsidR="00F8348A" w:rsidRDefault="00C63B22" w:rsidP="00C63B22">
      <w:pPr>
        <w:pStyle w:val="ListParagraph"/>
        <w:numPr>
          <w:ilvl w:val="0"/>
          <w:numId w:val="25"/>
        </w:numPr>
      </w:pPr>
      <w:r>
        <w:t xml:space="preserve">Pharmacy </w:t>
      </w:r>
      <w:r w:rsidRPr="00C63B22">
        <w:t>Recommendations</w:t>
      </w:r>
    </w:p>
    <w:p w14:paraId="70001F9B" w14:textId="2363AAD3" w:rsidR="00C63B22" w:rsidRDefault="00C63B22" w:rsidP="00C63B22">
      <w:pPr>
        <w:pStyle w:val="ListParagraph"/>
        <w:numPr>
          <w:ilvl w:val="1"/>
          <w:numId w:val="25"/>
        </w:numPr>
      </w:pPr>
      <w:r>
        <w:t>Pricing Recommendations</w:t>
      </w:r>
    </w:p>
    <w:p w14:paraId="45F3FB4D" w14:textId="490E4D50" w:rsidR="00C63B22" w:rsidRDefault="00C63B22" w:rsidP="00C63B22">
      <w:pPr>
        <w:pStyle w:val="ListParagraph"/>
        <w:numPr>
          <w:ilvl w:val="2"/>
          <w:numId w:val="25"/>
        </w:numPr>
      </w:pPr>
      <w:r>
        <w:t>Audits should be completed for the full year the contract is in place.  CTI will work with the county to ensure future audits span the full contract period</w:t>
      </w:r>
      <w:r w:rsidR="00120494">
        <w:t>.</w:t>
      </w:r>
    </w:p>
    <w:p w14:paraId="4AF9A90B" w14:textId="7BCBFE2D" w:rsidR="00C63B22" w:rsidRPr="00C63B22" w:rsidRDefault="00C02D7B" w:rsidP="00C63B22">
      <w:pPr>
        <w:pStyle w:val="ListParagraph"/>
        <w:numPr>
          <w:ilvl w:val="2"/>
          <w:numId w:val="25"/>
        </w:numPr>
      </w:pPr>
      <w:r>
        <w:t>The c</w:t>
      </w:r>
      <w:r w:rsidR="00C63B22">
        <w:t xml:space="preserve">ontract language should be updated </w:t>
      </w:r>
      <w:r w:rsidR="000C75DB">
        <w:t xml:space="preserve">to include </w:t>
      </w:r>
      <w:r w:rsidR="00C63B22">
        <w:t xml:space="preserve">pricing guarantees that </w:t>
      </w:r>
      <w:r w:rsidR="009777B3">
        <w:t>are</w:t>
      </w:r>
      <w:r w:rsidR="00C63B22">
        <w:t xml:space="preserve"> component based, i.e. </w:t>
      </w:r>
      <w:r w:rsidR="000C75DB">
        <w:t xml:space="preserve">include </w:t>
      </w:r>
      <w:r w:rsidR="00C63B22">
        <w:t xml:space="preserve">the different elements that make up </w:t>
      </w:r>
      <w:r w:rsidR="000C75DB">
        <w:t xml:space="preserve">the </w:t>
      </w:r>
      <w:r w:rsidR="00C63B22">
        <w:t>final Rx prices, e.g., ingredient costs and dispensing fees charged by the pharmacists.</w:t>
      </w:r>
      <w:r w:rsidR="000C75DB">
        <w:t xml:space="preserve">  There should be no offsetting between components or channels allowed.</w:t>
      </w:r>
    </w:p>
    <w:p w14:paraId="503B21CA" w14:textId="5171092F" w:rsidR="00F8348A" w:rsidRDefault="006C3602" w:rsidP="00197784">
      <w:r>
        <w:t>Dental Audit</w:t>
      </w:r>
    </w:p>
    <w:p w14:paraId="45344637" w14:textId="75BF7C06" w:rsidR="00776773" w:rsidRDefault="00776773" w:rsidP="00197784">
      <w:pPr>
        <w:pStyle w:val="ListParagraph"/>
        <w:numPr>
          <w:ilvl w:val="0"/>
          <w:numId w:val="25"/>
        </w:numPr>
      </w:pPr>
      <w:r>
        <w:t>The current audit period covers July 1, 2022</w:t>
      </w:r>
      <w:r w:rsidR="006F768C">
        <w:t>,</w:t>
      </w:r>
      <w:r>
        <w:t xml:space="preserve"> through December 31, 2023.</w:t>
      </w:r>
    </w:p>
    <w:p w14:paraId="32773909" w14:textId="0A1573E7" w:rsidR="006F768C" w:rsidRDefault="006C3602" w:rsidP="00197784">
      <w:pPr>
        <w:pStyle w:val="ListParagraph"/>
        <w:numPr>
          <w:ilvl w:val="0"/>
          <w:numId w:val="25"/>
        </w:numPr>
      </w:pPr>
      <w:r>
        <w:t xml:space="preserve">The objectives were to determine if Delta Dental followed the terms of the contract </w:t>
      </w:r>
      <w:r w:rsidR="006F768C">
        <w:t xml:space="preserve">and </w:t>
      </w:r>
      <w:r>
        <w:t xml:space="preserve">paid claims according to plan documents. </w:t>
      </w:r>
      <w:r w:rsidR="006F768C">
        <w:t xml:space="preserve"> Member eligibility and coverage </w:t>
      </w:r>
      <w:r w:rsidR="00F76763">
        <w:t>were</w:t>
      </w:r>
      <w:r w:rsidR="006F768C">
        <w:t xml:space="preserve"> validated </w:t>
      </w:r>
      <w:r w:rsidR="00A32441">
        <w:t>for</w:t>
      </w:r>
      <w:r w:rsidR="006F768C">
        <w:t xml:space="preserve"> date of service.</w:t>
      </w:r>
    </w:p>
    <w:p w14:paraId="424DC06B" w14:textId="7B5CE34C" w:rsidR="006C3602" w:rsidRDefault="00050BA5" w:rsidP="00197784">
      <w:pPr>
        <w:pStyle w:val="ListParagraph"/>
        <w:numPr>
          <w:ilvl w:val="0"/>
          <w:numId w:val="25"/>
        </w:numPr>
      </w:pPr>
      <w:r>
        <w:t>Any c</w:t>
      </w:r>
      <w:r w:rsidR="006C3602">
        <w:t>laims administration</w:t>
      </w:r>
      <w:r>
        <w:t xml:space="preserve">, </w:t>
      </w:r>
      <w:r w:rsidR="006C3602">
        <w:t>eligibility maintenance systems</w:t>
      </w:r>
      <w:r>
        <w:t xml:space="preserve">, or </w:t>
      </w:r>
      <w:r w:rsidR="00D37457">
        <w:t xml:space="preserve">processes </w:t>
      </w:r>
      <w:r w:rsidR="00A32441">
        <w:t>were reviewed</w:t>
      </w:r>
      <w:r w:rsidR="00A30BC1">
        <w:t xml:space="preserve"> for improvement.</w:t>
      </w:r>
    </w:p>
    <w:p w14:paraId="5ABECAEB" w14:textId="3A7249D2" w:rsidR="00A82F76" w:rsidRDefault="00A82F76" w:rsidP="00197784">
      <w:pPr>
        <w:pStyle w:val="ListParagraph"/>
        <w:numPr>
          <w:ilvl w:val="0"/>
          <w:numId w:val="25"/>
        </w:numPr>
      </w:pPr>
      <w:r>
        <w:t>The random sample size was 110 claims.  Target sample size 15 claims.</w:t>
      </w:r>
    </w:p>
    <w:p w14:paraId="45FAC6C9" w14:textId="1DA08B5A" w:rsidR="00AB0650" w:rsidRDefault="003B6AA0" w:rsidP="00AB0650">
      <w:pPr>
        <w:pStyle w:val="ListParagraph"/>
        <w:numPr>
          <w:ilvl w:val="1"/>
          <w:numId w:val="25"/>
        </w:numPr>
      </w:pPr>
      <w:r>
        <w:t>S</w:t>
      </w:r>
      <w:r w:rsidR="00AB0650">
        <w:t>ummary for this period.</w:t>
      </w:r>
    </w:p>
    <w:p w14:paraId="41D6CF0D" w14:textId="634E2735" w:rsidR="00F36025" w:rsidRDefault="00F36025" w:rsidP="00AB0650">
      <w:pPr>
        <w:pStyle w:val="ListParagraph"/>
        <w:numPr>
          <w:ilvl w:val="2"/>
          <w:numId w:val="25"/>
        </w:numPr>
      </w:pPr>
      <w:r>
        <w:t>Total claim paid amount $1,928,579.</w:t>
      </w:r>
    </w:p>
    <w:p w14:paraId="0C1309B2" w14:textId="77777777" w:rsidR="003B6AA0" w:rsidRDefault="00837550" w:rsidP="00AB0650">
      <w:pPr>
        <w:pStyle w:val="ListParagraph"/>
        <w:numPr>
          <w:ilvl w:val="2"/>
          <w:numId w:val="25"/>
        </w:numPr>
      </w:pPr>
      <w:r>
        <w:t xml:space="preserve">Number of claims processed 8,565. </w:t>
      </w:r>
    </w:p>
    <w:p w14:paraId="6CE24252" w14:textId="29280B34" w:rsidR="00837550" w:rsidRDefault="00837550" w:rsidP="00AB0650">
      <w:pPr>
        <w:pStyle w:val="ListParagraph"/>
        <w:numPr>
          <w:ilvl w:val="2"/>
          <w:numId w:val="25"/>
        </w:numPr>
      </w:pPr>
      <w:r>
        <w:t>Median claim turnaround time 1 day.</w:t>
      </w:r>
    </w:p>
    <w:p w14:paraId="546AE05B" w14:textId="77777777" w:rsidR="00D35771" w:rsidRDefault="00D35771" w:rsidP="00D35771">
      <w:pPr>
        <w:pStyle w:val="ListParagraph"/>
        <w:ind w:left="2160"/>
      </w:pPr>
    </w:p>
    <w:p w14:paraId="2B8AC831" w14:textId="77777777" w:rsidR="00C9627C" w:rsidRDefault="00C9627C" w:rsidP="00C9627C">
      <w:pPr>
        <w:pStyle w:val="ListParagraph"/>
        <w:numPr>
          <w:ilvl w:val="0"/>
          <w:numId w:val="25"/>
        </w:numPr>
      </w:pPr>
      <w:r>
        <w:lastRenderedPageBreak/>
        <w:t>Key performance Indicators.</w:t>
      </w:r>
    </w:p>
    <w:p w14:paraId="062ED5F9" w14:textId="0042A575" w:rsidR="00C9627C" w:rsidRDefault="00C9627C" w:rsidP="00C9627C">
      <w:pPr>
        <w:pStyle w:val="ListParagraph"/>
        <w:numPr>
          <w:ilvl w:val="1"/>
          <w:numId w:val="25"/>
        </w:numPr>
      </w:pPr>
      <w:r>
        <w:t>Financial accuracy 100%</w:t>
      </w:r>
    </w:p>
    <w:p w14:paraId="4DD36096" w14:textId="17D22BA2" w:rsidR="00C9627C" w:rsidRDefault="00C9627C" w:rsidP="00C9627C">
      <w:pPr>
        <w:pStyle w:val="ListParagraph"/>
        <w:numPr>
          <w:ilvl w:val="1"/>
          <w:numId w:val="25"/>
        </w:numPr>
      </w:pPr>
      <w:r>
        <w:t>Accurate payment 100%</w:t>
      </w:r>
    </w:p>
    <w:p w14:paraId="412D3DFF" w14:textId="74E0AD2F" w:rsidR="00C9627C" w:rsidRDefault="00C9627C" w:rsidP="00C9627C">
      <w:pPr>
        <w:pStyle w:val="ListParagraph"/>
        <w:numPr>
          <w:ilvl w:val="1"/>
          <w:numId w:val="25"/>
        </w:numPr>
      </w:pPr>
      <w:r>
        <w:t>Accurate processing 99.09%</w:t>
      </w:r>
    </w:p>
    <w:p w14:paraId="1A785EB3" w14:textId="77777777" w:rsidR="00DF3BE7" w:rsidRDefault="00DF3BE7" w:rsidP="00DF3BE7">
      <w:pPr>
        <w:pStyle w:val="ListParagraph"/>
        <w:numPr>
          <w:ilvl w:val="0"/>
          <w:numId w:val="25"/>
        </w:numPr>
      </w:pPr>
      <w:r>
        <w:t>Recommendation</w:t>
      </w:r>
    </w:p>
    <w:p w14:paraId="629F4467" w14:textId="69F2C6B1" w:rsidR="00102A8B" w:rsidRDefault="00102A8B" w:rsidP="00102A8B">
      <w:pPr>
        <w:pStyle w:val="ListParagraph"/>
        <w:numPr>
          <w:ilvl w:val="1"/>
          <w:numId w:val="25"/>
        </w:numPr>
      </w:pPr>
      <w:r>
        <w:t>Random Sample of 110 claims.</w:t>
      </w:r>
    </w:p>
    <w:p w14:paraId="03181A78" w14:textId="73838F67" w:rsidR="00F15449" w:rsidRDefault="00F15449" w:rsidP="00102A8B">
      <w:pPr>
        <w:pStyle w:val="ListParagraph"/>
        <w:numPr>
          <w:ilvl w:val="2"/>
          <w:numId w:val="25"/>
        </w:numPr>
      </w:pPr>
      <w:r>
        <w:t xml:space="preserve">CTI identified one procedural error because the claim processing screen was not updated.  </w:t>
      </w:r>
      <w:r w:rsidR="00CB23EC">
        <w:t>The screen</w:t>
      </w:r>
      <w:r>
        <w:t xml:space="preserve"> reflected an inaccurate lifetime coverage limit.  Delta Dental disagreed with the error because the claim processed correctly (no financial implication).</w:t>
      </w:r>
    </w:p>
    <w:p w14:paraId="629B847D" w14:textId="77777777" w:rsidR="00102A8B" w:rsidRDefault="00102A8B" w:rsidP="00102A8B">
      <w:pPr>
        <w:pStyle w:val="ListParagraph"/>
        <w:numPr>
          <w:ilvl w:val="1"/>
          <w:numId w:val="25"/>
        </w:numPr>
      </w:pPr>
      <w:r>
        <w:t>The county should continue to monitor and audit Delta Dental’s administrative performance to verify financial accuracy, accurate payment frequency, and accurate processing frequency remains at expected levels.</w:t>
      </w:r>
    </w:p>
    <w:p w14:paraId="7C381A35" w14:textId="38449F43" w:rsidR="00102A8B" w:rsidRDefault="00102A8B" w:rsidP="00102A8B">
      <w:pPr>
        <w:pStyle w:val="ListParagraph"/>
        <w:numPr>
          <w:ilvl w:val="1"/>
          <w:numId w:val="25"/>
        </w:numPr>
      </w:pPr>
      <w:r>
        <w:t>100% Electronic Screening of 15 targeted samples.</w:t>
      </w:r>
    </w:p>
    <w:p w14:paraId="6E9C28F4" w14:textId="24385129" w:rsidR="00102A8B" w:rsidRDefault="00102A8B" w:rsidP="00102A8B">
      <w:pPr>
        <w:pStyle w:val="ListParagraph"/>
        <w:numPr>
          <w:ilvl w:val="2"/>
          <w:numId w:val="25"/>
        </w:numPr>
      </w:pPr>
      <w:r>
        <w:t>Delta Dental and CTI agreed that one claim was paid twice ($389) from coordination of benefits savings.  The county should ensure receipt of the reimbursement for the duplicate claim paid.</w:t>
      </w:r>
    </w:p>
    <w:p w14:paraId="4EBC13F5" w14:textId="351B64BB" w:rsidR="00F15449" w:rsidRDefault="00102A8B" w:rsidP="00F15449">
      <w:pPr>
        <w:pStyle w:val="ListParagraph"/>
        <w:numPr>
          <w:ilvl w:val="1"/>
          <w:numId w:val="25"/>
        </w:numPr>
      </w:pPr>
      <w:r>
        <w:t>D</w:t>
      </w:r>
      <w:r w:rsidR="00F15449">
        <w:t>elta Dental’s key performance indicators have been excellent over the last two audits.</w:t>
      </w:r>
    </w:p>
    <w:p w14:paraId="45890174" w14:textId="30408225" w:rsidR="009B6041" w:rsidRDefault="00F15449" w:rsidP="009B6041">
      <w:pPr>
        <w:pStyle w:val="ListParagraph"/>
        <w:numPr>
          <w:ilvl w:val="0"/>
          <w:numId w:val="25"/>
        </w:numPr>
      </w:pPr>
      <w:r>
        <w:t>O</w:t>
      </w:r>
      <w:r w:rsidR="009B6041">
        <w:t>perational Review</w:t>
      </w:r>
    </w:p>
    <w:p w14:paraId="2B25E323" w14:textId="2113D416" w:rsidR="005056B6" w:rsidRDefault="007748FD" w:rsidP="005056B6">
      <w:pPr>
        <w:pStyle w:val="ListParagraph"/>
        <w:numPr>
          <w:ilvl w:val="1"/>
          <w:numId w:val="25"/>
        </w:numPr>
      </w:pPr>
      <w:r>
        <w:t xml:space="preserve">Delta Dental does not </w:t>
      </w:r>
      <w:r w:rsidR="00DE57A5">
        <w:t xml:space="preserve">send </w:t>
      </w:r>
      <w:r>
        <w:t xml:space="preserve">an annual written questionnaire to determine whether a member has other dental </w:t>
      </w:r>
      <w:r w:rsidR="00507DE7">
        <w:t>insurance</w:t>
      </w:r>
      <w:r>
        <w:t xml:space="preserve">.   </w:t>
      </w:r>
      <w:r w:rsidR="00507DE7">
        <w:t>The county should discuss the feasibility of Delta Dental sending an annual questionnaire to members to assess the availability of other insurance coverage.</w:t>
      </w:r>
    </w:p>
    <w:p w14:paraId="4080DFBF" w14:textId="028D6579" w:rsidR="00A166EC" w:rsidRDefault="00A166EC" w:rsidP="00A166EC">
      <w:pPr>
        <w:pStyle w:val="ListParagraph"/>
        <w:numPr>
          <w:ilvl w:val="0"/>
          <w:numId w:val="25"/>
        </w:numPr>
      </w:pPr>
      <w:r>
        <w:t>Plan Documentation Analysis</w:t>
      </w:r>
    </w:p>
    <w:p w14:paraId="49BA9408" w14:textId="3FDBE749" w:rsidR="00A166EC" w:rsidRDefault="00A166EC" w:rsidP="00A166EC">
      <w:pPr>
        <w:pStyle w:val="ListParagraph"/>
        <w:numPr>
          <w:ilvl w:val="1"/>
          <w:numId w:val="25"/>
        </w:numPr>
      </w:pPr>
      <w:r>
        <w:t>There were no inconsistencies, ambiguities, or missing provisions.</w:t>
      </w:r>
    </w:p>
    <w:p w14:paraId="33E7727B" w14:textId="3101DFF0" w:rsidR="00A166EC" w:rsidRDefault="00A166EC" w:rsidP="00A166EC">
      <w:pPr>
        <w:pStyle w:val="ListParagraph"/>
        <w:numPr>
          <w:ilvl w:val="0"/>
          <w:numId w:val="25"/>
        </w:numPr>
      </w:pPr>
      <w:r>
        <w:t>Eligibility Screening</w:t>
      </w:r>
    </w:p>
    <w:p w14:paraId="7AFD822E" w14:textId="3EF85DF6" w:rsidR="003624DC" w:rsidRDefault="003624DC" w:rsidP="003624DC">
      <w:pPr>
        <w:pStyle w:val="ListParagraph"/>
        <w:numPr>
          <w:ilvl w:val="1"/>
          <w:numId w:val="25"/>
        </w:numPr>
      </w:pPr>
      <w:r>
        <w:t>The total dollar amount of claims paid for ineligible members was $604.00.</w:t>
      </w:r>
    </w:p>
    <w:p w14:paraId="0FF22C2B" w14:textId="1EE720FB" w:rsidR="003624DC" w:rsidRDefault="005B3173" w:rsidP="003624DC">
      <w:pPr>
        <w:pStyle w:val="ListParagraph"/>
        <w:numPr>
          <w:ilvl w:val="1"/>
          <w:numId w:val="25"/>
        </w:numPr>
      </w:pPr>
      <w:r>
        <w:t xml:space="preserve">The county and Delta Dental should monitor eligibility </w:t>
      </w:r>
      <w:r w:rsidR="00197D4B">
        <w:t>so</w:t>
      </w:r>
      <w:r>
        <w:t xml:space="preserve"> only eligible claims are paid.</w:t>
      </w:r>
    </w:p>
    <w:p w14:paraId="6807FDB8" w14:textId="12542C20" w:rsidR="007D5AFE" w:rsidRDefault="007D5AFE" w:rsidP="00F90ACC">
      <w:pPr>
        <w:pStyle w:val="ListParagraph"/>
        <w:numPr>
          <w:ilvl w:val="0"/>
          <w:numId w:val="25"/>
        </w:numPr>
      </w:pPr>
      <w:r>
        <w:t xml:space="preserve">Data </w:t>
      </w:r>
      <w:r w:rsidR="00F90ACC">
        <w:t>Analytics</w:t>
      </w:r>
    </w:p>
    <w:p w14:paraId="528F5433" w14:textId="07B8AC4F" w:rsidR="00CB64E6" w:rsidRDefault="00CB64E6" w:rsidP="00CB64E6">
      <w:pPr>
        <w:pStyle w:val="ListParagraph"/>
        <w:numPr>
          <w:ilvl w:val="1"/>
          <w:numId w:val="25"/>
        </w:numPr>
      </w:pPr>
      <w:r>
        <w:t>95% of claims were received electronically.</w:t>
      </w:r>
    </w:p>
    <w:p w14:paraId="510A8E50" w14:textId="25CCB502" w:rsidR="00CB64E6" w:rsidRDefault="00512A6F" w:rsidP="00CB64E6">
      <w:pPr>
        <w:pStyle w:val="ListParagraph"/>
        <w:numPr>
          <w:ilvl w:val="1"/>
          <w:numId w:val="25"/>
        </w:numPr>
      </w:pPr>
      <w:r>
        <w:t>83% of claims were auto adjudicated.</w:t>
      </w:r>
    </w:p>
    <w:p w14:paraId="3948011F" w14:textId="32384A33" w:rsidR="00512A6F" w:rsidRDefault="00512A6F" w:rsidP="00CB64E6">
      <w:pPr>
        <w:pStyle w:val="ListParagraph"/>
        <w:numPr>
          <w:ilvl w:val="1"/>
          <w:numId w:val="25"/>
        </w:numPr>
      </w:pPr>
      <w:r>
        <w:t>Delta Dental reported a 30.</w:t>
      </w:r>
      <w:r w:rsidR="009A1E43">
        <w:t>3</w:t>
      </w:r>
      <w:r>
        <w:t>6% provider discount for 2022.</w:t>
      </w:r>
    </w:p>
    <w:p w14:paraId="2A868B79" w14:textId="2FCAEAF6" w:rsidR="00512A6F" w:rsidRDefault="00512A6F" w:rsidP="00CB64E6">
      <w:pPr>
        <w:pStyle w:val="ListParagraph"/>
        <w:numPr>
          <w:ilvl w:val="1"/>
          <w:numId w:val="25"/>
        </w:numPr>
      </w:pPr>
      <w:r>
        <w:t>Delta Dental reported a 31.95% provider discount for 2023.</w:t>
      </w:r>
    </w:p>
    <w:p w14:paraId="4645903D" w14:textId="38BA0EA6" w:rsidR="00512A6F" w:rsidRDefault="00512A6F" w:rsidP="00CB64E6">
      <w:pPr>
        <w:pStyle w:val="ListParagraph"/>
        <w:numPr>
          <w:ilvl w:val="1"/>
          <w:numId w:val="25"/>
        </w:numPr>
      </w:pPr>
      <w:r>
        <w:t>CTI calculated a 28.3% provider discount for the audit period.</w:t>
      </w:r>
    </w:p>
    <w:p w14:paraId="2857D866" w14:textId="724B3DE4" w:rsidR="00CD2E82" w:rsidRDefault="00CD2E82" w:rsidP="00CD2E82">
      <w:pPr>
        <w:pStyle w:val="ListParagraph"/>
        <w:numPr>
          <w:ilvl w:val="0"/>
          <w:numId w:val="25"/>
        </w:numPr>
      </w:pPr>
      <w:r>
        <w:t xml:space="preserve">CTI found the Delta Dental team to be professional and responsive.  It was a clean audit.  </w:t>
      </w:r>
    </w:p>
    <w:p w14:paraId="56469237" w14:textId="77777777" w:rsidR="001763D9" w:rsidRDefault="001763D9" w:rsidP="001763D9">
      <w:pPr>
        <w:ind w:left="360"/>
      </w:pPr>
    </w:p>
    <w:p w14:paraId="39132053" w14:textId="4F5883EC" w:rsidR="001763D9" w:rsidRDefault="001763D9" w:rsidP="001763D9">
      <w:r>
        <w:t>Amie will discuss the contract updates and recommendations</w:t>
      </w:r>
      <w:r w:rsidR="00EF0BB6">
        <w:t xml:space="preserve"> with Aon</w:t>
      </w:r>
      <w:r>
        <w:t>.</w:t>
      </w:r>
      <w:r w:rsidR="00EF0BB6">
        <w:t xml:space="preserve">  Jennifer Weddle wants to confirm that the provider discounts are accurate</w:t>
      </w:r>
      <w:r w:rsidR="008026E7">
        <w:t xml:space="preserve"> because of the discrepan</w:t>
      </w:r>
      <w:r w:rsidR="002C4943">
        <w:t>cies with</w:t>
      </w:r>
      <w:r w:rsidR="008026E7">
        <w:t xml:space="preserve"> Regence and Delta Dental with CTI</w:t>
      </w:r>
      <w:r w:rsidR="00EF0BB6">
        <w:t>.</w:t>
      </w:r>
    </w:p>
    <w:p w14:paraId="3D39B47A" w14:textId="77777777" w:rsidR="00197D4B" w:rsidRDefault="00197D4B" w:rsidP="001763D9"/>
    <w:p w14:paraId="105EA740" w14:textId="195326F2" w:rsidR="006928B6" w:rsidRDefault="006928B6">
      <w:r>
        <w:t>Meeting adjourned.</w:t>
      </w:r>
    </w:p>
    <w:sectPr w:rsidR="006928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FB31" w14:textId="77777777" w:rsidR="00204A60" w:rsidRDefault="00204A60" w:rsidP="003453E0">
      <w:pPr>
        <w:spacing w:line="240" w:lineRule="auto"/>
      </w:pPr>
      <w:r>
        <w:separator/>
      </w:r>
    </w:p>
  </w:endnote>
  <w:endnote w:type="continuationSeparator" w:id="0">
    <w:p w14:paraId="65FD3F19" w14:textId="77777777" w:rsidR="00204A60" w:rsidRDefault="00204A60" w:rsidP="0034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735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70784" w14:textId="77777777" w:rsidR="00A319BB" w:rsidRDefault="00A319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0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85121" w14:textId="6CF185C9" w:rsidR="003453E0" w:rsidRDefault="00A319BB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6928B6">
      <w:rPr>
        <w:noProof/>
      </w:rPr>
      <w:t>June 5,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6DD8" w14:textId="77777777" w:rsidR="00204A60" w:rsidRDefault="00204A60" w:rsidP="003453E0">
      <w:pPr>
        <w:spacing w:line="240" w:lineRule="auto"/>
      </w:pPr>
      <w:r>
        <w:separator/>
      </w:r>
    </w:p>
  </w:footnote>
  <w:footnote w:type="continuationSeparator" w:id="0">
    <w:p w14:paraId="73CD9A99" w14:textId="77777777" w:rsidR="00204A60" w:rsidRDefault="00204A60" w:rsidP="00345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E81"/>
    <w:multiLevelType w:val="hybridMultilevel"/>
    <w:tmpl w:val="F4E20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90F"/>
    <w:multiLevelType w:val="hybridMultilevel"/>
    <w:tmpl w:val="DE88AE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6602CD"/>
    <w:multiLevelType w:val="multilevel"/>
    <w:tmpl w:val="BB8A3268"/>
    <w:name w:val="zzmpSRLeg2A||_SRLeg2A|2|3|1|5|0|35||1|0|32||1|0|32||1|0|32||1|0|32||1|0|32||1|0|32||1|0|32||mpNA||"/>
    <w:lvl w:ilvl="0">
      <w:start w:val="1"/>
      <w:numFmt w:val="decimal"/>
      <w:lvlRestart w:val="0"/>
      <w:pStyle w:val="SRLeg2A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000000"/>
        <w:sz w:val="24"/>
        <w:u w:val="none"/>
      </w:rPr>
    </w:lvl>
    <w:lvl w:ilvl="1">
      <w:start w:val="1"/>
      <w:numFmt w:val="decimal"/>
      <w:pStyle w:val="SRLeg2AL2"/>
      <w:isLgl/>
      <w:lvlText w:val="%1.%2"/>
      <w:lvlJc w:val="left"/>
      <w:pPr>
        <w:tabs>
          <w:tab w:val="num" w:pos="2160"/>
        </w:tabs>
        <w:ind w:left="144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2">
      <w:start w:val="1"/>
      <w:numFmt w:val="decimal"/>
      <w:pStyle w:val="SRLeg2AL3"/>
      <w:isLgl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3">
      <w:start w:val="1"/>
      <w:numFmt w:val="lowerLetter"/>
      <w:pStyle w:val="SRLeg2AL4"/>
      <w:lvlText w:val="(%4)"/>
      <w:lvlJc w:val="left"/>
      <w:pPr>
        <w:tabs>
          <w:tab w:val="num" w:pos="2880"/>
        </w:tabs>
        <w:ind w:left="720" w:firstLine="1440"/>
      </w:pPr>
      <w:rPr>
        <w:rFonts w:ascii="Calibri" w:hAnsi="Calibri" w:cs="Times New Roman"/>
        <w:color w:val="000000"/>
        <w:sz w:val="22"/>
        <w:u w:val="none"/>
      </w:rPr>
    </w:lvl>
    <w:lvl w:ilvl="4">
      <w:start w:val="1"/>
      <w:numFmt w:val="lowerRoman"/>
      <w:pStyle w:val="SRLeg2AL5"/>
      <w:lvlText w:val="(%5)"/>
      <w:lvlJc w:val="left"/>
      <w:pPr>
        <w:tabs>
          <w:tab w:val="num" w:pos="3600"/>
        </w:tabs>
        <w:ind w:left="1440" w:firstLine="1440"/>
      </w:pPr>
      <w:rPr>
        <w:rFonts w:ascii="Calibri" w:hAnsi="Calibri" w:cs="Times New Roman"/>
        <w:color w:val="000000"/>
        <w:sz w:val="22"/>
        <w:u w:val="none"/>
      </w:rPr>
    </w:lvl>
    <w:lvl w:ilvl="5">
      <w:start w:val="1"/>
      <w:numFmt w:val="decimal"/>
      <w:pStyle w:val="SRLeg2AL6"/>
      <w:lvlText w:val="%6)"/>
      <w:lvlJc w:val="left"/>
      <w:pPr>
        <w:tabs>
          <w:tab w:val="num" w:pos="4320"/>
        </w:tabs>
        <w:ind w:left="2160" w:firstLine="1440"/>
      </w:pPr>
      <w:rPr>
        <w:rFonts w:ascii="Calibri" w:hAnsi="Calibri" w:cs="Times New Roman"/>
        <w:color w:val="000000"/>
        <w:sz w:val="22"/>
        <w:u w:val="none"/>
      </w:rPr>
    </w:lvl>
    <w:lvl w:ilvl="6">
      <w:start w:val="1"/>
      <w:numFmt w:val="lowerLetter"/>
      <w:pStyle w:val="SRLeg2AL7"/>
      <w:lvlText w:val="%7)"/>
      <w:lvlJc w:val="left"/>
      <w:pPr>
        <w:tabs>
          <w:tab w:val="num" w:pos="5040"/>
        </w:tabs>
        <w:ind w:left="2880" w:firstLine="1440"/>
      </w:pPr>
      <w:rPr>
        <w:rFonts w:ascii="Calibri" w:hAnsi="Calibri" w:cs="Times New Roman"/>
        <w:color w:val="000000"/>
        <w:sz w:val="22"/>
        <w:u w:val="none"/>
      </w:rPr>
    </w:lvl>
    <w:lvl w:ilvl="7">
      <w:start w:val="1"/>
      <w:numFmt w:val="lowerRoman"/>
      <w:pStyle w:val="SRLeg2AL8"/>
      <w:lvlText w:val="%8)"/>
      <w:lvlJc w:val="left"/>
      <w:pPr>
        <w:tabs>
          <w:tab w:val="num" w:pos="5760"/>
        </w:tabs>
        <w:ind w:left="3600" w:firstLine="1440"/>
      </w:pPr>
      <w:rPr>
        <w:rFonts w:ascii="Calibri" w:hAnsi="Calibri" w:cs="Times New Roman"/>
        <w:color w:val="000000"/>
        <w:sz w:val="22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F86736"/>
    <w:multiLevelType w:val="hybridMultilevel"/>
    <w:tmpl w:val="980C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347D"/>
    <w:multiLevelType w:val="hybridMultilevel"/>
    <w:tmpl w:val="CA18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7D93"/>
    <w:multiLevelType w:val="hybridMultilevel"/>
    <w:tmpl w:val="03D6A7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B2678B"/>
    <w:multiLevelType w:val="hybridMultilevel"/>
    <w:tmpl w:val="265E3D9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1D848A7"/>
    <w:multiLevelType w:val="hybridMultilevel"/>
    <w:tmpl w:val="E4A083E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200391E"/>
    <w:multiLevelType w:val="hybridMultilevel"/>
    <w:tmpl w:val="096E44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686F7B"/>
    <w:multiLevelType w:val="hybridMultilevel"/>
    <w:tmpl w:val="1CE604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FE73D2"/>
    <w:multiLevelType w:val="hybridMultilevel"/>
    <w:tmpl w:val="11900B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A96118"/>
    <w:multiLevelType w:val="hybridMultilevel"/>
    <w:tmpl w:val="67766F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B2EB8"/>
    <w:multiLevelType w:val="hybridMultilevel"/>
    <w:tmpl w:val="4C8C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45E22"/>
    <w:multiLevelType w:val="hybridMultilevel"/>
    <w:tmpl w:val="FB9A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76AC"/>
    <w:multiLevelType w:val="hybridMultilevel"/>
    <w:tmpl w:val="E75A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B251A"/>
    <w:multiLevelType w:val="hybridMultilevel"/>
    <w:tmpl w:val="037E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5252C"/>
    <w:multiLevelType w:val="hybridMultilevel"/>
    <w:tmpl w:val="8E64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D6E35"/>
    <w:multiLevelType w:val="hybridMultilevel"/>
    <w:tmpl w:val="4BBCCC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372B38EA"/>
    <w:multiLevelType w:val="hybridMultilevel"/>
    <w:tmpl w:val="418641E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82944EB"/>
    <w:multiLevelType w:val="hybridMultilevel"/>
    <w:tmpl w:val="815C44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0758ED"/>
    <w:multiLevelType w:val="hybridMultilevel"/>
    <w:tmpl w:val="6710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1233B"/>
    <w:multiLevelType w:val="hybridMultilevel"/>
    <w:tmpl w:val="A030E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953F13"/>
    <w:multiLevelType w:val="hybridMultilevel"/>
    <w:tmpl w:val="FB72EF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C3B9B"/>
    <w:multiLevelType w:val="hybridMultilevel"/>
    <w:tmpl w:val="320A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134FE"/>
    <w:multiLevelType w:val="hybridMultilevel"/>
    <w:tmpl w:val="6726A0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AC5E7C"/>
    <w:multiLevelType w:val="hybridMultilevel"/>
    <w:tmpl w:val="EF9246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2512C13"/>
    <w:multiLevelType w:val="hybridMultilevel"/>
    <w:tmpl w:val="2452C9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026BE5"/>
    <w:multiLevelType w:val="hybridMultilevel"/>
    <w:tmpl w:val="0FF6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9451D"/>
    <w:multiLevelType w:val="hybridMultilevel"/>
    <w:tmpl w:val="4AE808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64D11BC"/>
    <w:multiLevelType w:val="hybridMultilevel"/>
    <w:tmpl w:val="FAD8E3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B1B72C7"/>
    <w:multiLevelType w:val="hybridMultilevel"/>
    <w:tmpl w:val="3700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A29D1"/>
    <w:multiLevelType w:val="hybridMultilevel"/>
    <w:tmpl w:val="3664ED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6C2048"/>
    <w:multiLevelType w:val="hybridMultilevel"/>
    <w:tmpl w:val="5172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E1103"/>
    <w:multiLevelType w:val="hybridMultilevel"/>
    <w:tmpl w:val="AB2084B2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48756F5"/>
    <w:multiLevelType w:val="hybridMultilevel"/>
    <w:tmpl w:val="99BE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860B0"/>
    <w:multiLevelType w:val="hybridMultilevel"/>
    <w:tmpl w:val="0E72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25679"/>
    <w:multiLevelType w:val="hybridMultilevel"/>
    <w:tmpl w:val="32C04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132D1"/>
    <w:multiLevelType w:val="hybridMultilevel"/>
    <w:tmpl w:val="5E00A994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6F502B9F"/>
    <w:multiLevelType w:val="hybridMultilevel"/>
    <w:tmpl w:val="485E9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41F71"/>
    <w:multiLevelType w:val="hybridMultilevel"/>
    <w:tmpl w:val="D90403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F7F098E"/>
    <w:multiLevelType w:val="hybridMultilevel"/>
    <w:tmpl w:val="7D6A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17">
    <w:abstractNumId w:val="4"/>
  </w:num>
  <w:num w:numId="2" w16cid:durableId="1106999945">
    <w:abstractNumId w:val="5"/>
  </w:num>
  <w:num w:numId="3" w16cid:durableId="130755111">
    <w:abstractNumId w:val="7"/>
  </w:num>
  <w:num w:numId="4" w16cid:durableId="1807624947">
    <w:abstractNumId w:val="37"/>
  </w:num>
  <w:num w:numId="5" w16cid:durableId="1265069671">
    <w:abstractNumId w:val="12"/>
  </w:num>
  <w:num w:numId="6" w16cid:durableId="1592929382">
    <w:abstractNumId w:val="23"/>
  </w:num>
  <w:num w:numId="7" w16cid:durableId="1675034780">
    <w:abstractNumId w:val="25"/>
  </w:num>
  <w:num w:numId="8" w16cid:durableId="1267615913">
    <w:abstractNumId w:val="29"/>
  </w:num>
  <w:num w:numId="9" w16cid:durableId="792987063">
    <w:abstractNumId w:val="36"/>
  </w:num>
  <w:num w:numId="10" w16cid:durableId="999772137">
    <w:abstractNumId w:val="3"/>
  </w:num>
  <w:num w:numId="11" w16cid:durableId="1389719419">
    <w:abstractNumId w:val="33"/>
  </w:num>
  <w:num w:numId="12" w16cid:durableId="1792551190">
    <w:abstractNumId w:val="6"/>
  </w:num>
  <w:num w:numId="13" w16cid:durableId="480391119">
    <w:abstractNumId w:val="14"/>
  </w:num>
  <w:num w:numId="14" w16cid:durableId="870453894">
    <w:abstractNumId w:val="40"/>
  </w:num>
  <w:num w:numId="15" w16cid:durableId="1497380130">
    <w:abstractNumId w:val="28"/>
  </w:num>
  <w:num w:numId="16" w16cid:durableId="96222473">
    <w:abstractNumId w:val="17"/>
  </w:num>
  <w:num w:numId="17" w16cid:durableId="1579905014">
    <w:abstractNumId w:val="32"/>
  </w:num>
  <w:num w:numId="18" w16cid:durableId="2098859927">
    <w:abstractNumId w:val="15"/>
  </w:num>
  <w:num w:numId="19" w16cid:durableId="1509440513">
    <w:abstractNumId w:val="16"/>
  </w:num>
  <w:num w:numId="20" w16cid:durableId="298463032">
    <w:abstractNumId w:val="13"/>
  </w:num>
  <w:num w:numId="21" w16cid:durableId="1784574122">
    <w:abstractNumId w:val="35"/>
  </w:num>
  <w:num w:numId="22" w16cid:durableId="1902906531">
    <w:abstractNumId w:val="18"/>
  </w:num>
  <w:num w:numId="23" w16cid:durableId="1434208080">
    <w:abstractNumId w:val="1"/>
  </w:num>
  <w:num w:numId="24" w16cid:durableId="1747454937">
    <w:abstractNumId w:val="9"/>
  </w:num>
  <w:num w:numId="25" w16cid:durableId="530188470">
    <w:abstractNumId w:val="20"/>
  </w:num>
  <w:num w:numId="26" w16cid:durableId="1792281672">
    <w:abstractNumId w:val="2"/>
  </w:num>
  <w:num w:numId="27" w16cid:durableId="646521180">
    <w:abstractNumId w:val="11"/>
  </w:num>
  <w:num w:numId="28" w16cid:durableId="2111243087">
    <w:abstractNumId w:val="38"/>
  </w:num>
  <w:num w:numId="29" w16cid:durableId="532108932">
    <w:abstractNumId w:val="24"/>
  </w:num>
  <w:num w:numId="30" w16cid:durableId="334773944">
    <w:abstractNumId w:val="0"/>
  </w:num>
  <w:num w:numId="31" w16cid:durableId="1904096558">
    <w:abstractNumId w:val="26"/>
  </w:num>
  <w:num w:numId="32" w16cid:durableId="1487167745">
    <w:abstractNumId w:val="39"/>
  </w:num>
  <w:num w:numId="33" w16cid:durableId="1017342618">
    <w:abstractNumId w:val="31"/>
  </w:num>
  <w:num w:numId="34" w16cid:durableId="927006833">
    <w:abstractNumId w:val="30"/>
  </w:num>
  <w:num w:numId="35" w16cid:durableId="882060200">
    <w:abstractNumId w:val="34"/>
  </w:num>
  <w:num w:numId="36" w16cid:durableId="485780034">
    <w:abstractNumId w:val="19"/>
  </w:num>
  <w:num w:numId="37" w16cid:durableId="1870101920">
    <w:abstractNumId w:val="27"/>
  </w:num>
  <w:num w:numId="38" w16cid:durableId="1714959208">
    <w:abstractNumId w:val="22"/>
  </w:num>
  <w:num w:numId="39" w16cid:durableId="1775055077">
    <w:abstractNumId w:val="10"/>
  </w:num>
  <w:num w:numId="40" w16cid:durableId="480661844">
    <w:abstractNumId w:val="8"/>
  </w:num>
  <w:num w:numId="41" w16cid:durableId="92106462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DF"/>
    <w:rsid w:val="00000BB1"/>
    <w:rsid w:val="00001FA7"/>
    <w:rsid w:val="00002D42"/>
    <w:rsid w:val="0000340A"/>
    <w:rsid w:val="00003666"/>
    <w:rsid w:val="00007223"/>
    <w:rsid w:val="00007686"/>
    <w:rsid w:val="00007CCE"/>
    <w:rsid w:val="000135E7"/>
    <w:rsid w:val="00013677"/>
    <w:rsid w:val="00014020"/>
    <w:rsid w:val="000178F5"/>
    <w:rsid w:val="00017E2B"/>
    <w:rsid w:val="00017E63"/>
    <w:rsid w:val="0002228A"/>
    <w:rsid w:val="000229AF"/>
    <w:rsid w:val="0002407C"/>
    <w:rsid w:val="000240EB"/>
    <w:rsid w:val="00031621"/>
    <w:rsid w:val="000335F6"/>
    <w:rsid w:val="00040A4C"/>
    <w:rsid w:val="00043E6E"/>
    <w:rsid w:val="0004456A"/>
    <w:rsid w:val="00050BA5"/>
    <w:rsid w:val="00050BD9"/>
    <w:rsid w:val="0005329B"/>
    <w:rsid w:val="000560B1"/>
    <w:rsid w:val="000600DB"/>
    <w:rsid w:val="00064AC2"/>
    <w:rsid w:val="00066048"/>
    <w:rsid w:val="000676E6"/>
    <w:rsid w:val="00072765"/>
    <w:rsid w:val="00074D14"/>
    <w:rsid w:val="00075512"/>
    <w:rsid w:val="00075EB1"/>
    <w:rsid w:val="00075F42"/>
    <w:rsid w:val="00077FC2"/>
    <w:rsid w:val="00084BE5"/>
    <w:rsid w:val="00085C94"/>
    <w:rsid w:val="00094D66"/>
    <w:rsid w:val="0009609B"/>
    <w:rsid w:val="00097ABF"/>
    <w:rsid w:val="000A2681"/>
    <w:rsid w:val="000A31C1"/>
    <w:rsid w:val="000A4067"/>
    <w:rsid w:val="000A616B"/>
    <w:rsid w:val="000A7287"/>
    <w:rsid w:val="000B04DA"/>
    <w:rsid w:val="000B2C6F"/>
    <w:rsid w:val="000B4AF8"/>
    <w:rsid w:val="000B5322"/>
    <w:rsid w:val="000B76D8"/>
    <w:rsid w:val="000C04A2"/>
    <w:rsid w:val="000C0A4D"/>
    <w:rsid w:val="000C0FB1"/>
    <w:rsid w:val="000C2469"/>
    <w:rsid w:val="000C4F68"/>
    <w:rsid w:val="000C5929"/>
    <w:rsid w:val="000C6BC7"/>
    <w:rsid w:val="000C75DB"/>
    <w:rsid w:val="000D65DE"/>
    <w:rsid w:val="000D6627"/>
    <w:rsid w:val="000E09C3"/>
    <w:rsid w:val="000E6AEB"/>
    <w:rsid w:val="000F124B"/>
    <w:rsid w:val="000F1664"/>
    <w:rsid w:val="000F19E1"/>
    <w:rsid w:val="000F7217"/>
    <w:rsid w:val="000F788F"/>
    <w:rsid w:val="000F7AD2"/>
    <w:rsid w:val="00102A8B"/>
    <w:rsid w:val="0010469F"/>
    <w:rsid w:val="00105BA5"/>
    <w:rsid w:val="00105DAD"/>
    <w:rsid w:val="00105FC5"/>
    <w:rsid w:val="00107C8E"/>
    <w:rsid w:val="001131E5"/>
    <w:rsid w:val="00113682"/>
    <w:rsid w:val="00113B10"/>
    <w:rsid w:val="00113D6D"/>
    <w:rsid w:val="00117237"/>
    <w:rsid w:val="00120494"/>
    <w:rsid w:val="00120767"/>
    <w:rsid w:val="00121C6B"/>
    <w:rsid w:val="0012249E"/>
    <w:rsid w:val="00124C03"/>
    <w:rsid w:val="001269A2"/>
    <w:rsid w:val="00126D81"/>
    <w:rsid w:val="001274F1"/>
    <w:rsid w:val="00127D16"/>
    <w:rsid w:val="00133949"/>
    <w:rsid w:val="00135AF6"/>
    <w:rsid w:val="00136143"/>
    <w:rsid w:val="00136873"/>
    <w:rsid w:val="00140077"/>
    <w:rsid w:val="001412FC"/>
    <w:rsid w:val="001418BF"/>
    <w:rsid w:val="00142C22"/>
    <w:rsid w:val="001443DA"/>
    <w:rsid w:val="00144FE5"/>
    <w:rsid w:val="00147EBA"/>
    <w:rsid w:val="00151297"/>
    <w:rsid w:val="001563DF"/>
    <w:rsid w:val="00157210"/>
    <w:rsid w:val="0016063B"/>
    <w:rsid w:val="00163BDD"/>
    <w:rsid w:val="00170A38"/>
    <w:rsid w:val="00175277"/>
    <w:rsid w:val="001763D9"/>
    <w:rsid w:val="001765FA"/>
    <w:rsid w:val="0018082D"/>
    <w:rsid w:val="00180A8D"/>
    <w:rsid w:val="001817DA"/>
    <w:rsid w:val="00182C79"/>
    <w:rsid w:val="00184113"/>
    <w:rsid w:val="001846A5"/>
    <w:rsid w:val="00187625"/>
    <w:rsid w:val="0019094A"/>
    <w:rsid w:val="00191D87"/>
    <w:rsid w:val="00195AF8"/>
    <w:rsid w:val="00197784"/>
    <w:rsid w:val="00197C1B"/>
    <w:rsid w:val="00197D4B"/>
    <w:rsid w:val="00197E16"/>
    <w:rsid w:val="001A0966"/>
    <w:rsid w:val="001A424B"/>
    <w:rsid w:val="001A45F9"/>
    <w:rsid w:val="001A5C27"/>
    <w:rsid w:val="001C019A"/>
    <w:rsid w:val="001C0D85"/>
    <w:rsid w:val="001C2A58"/>
    <w:rsid w:val="001C2BEB"/>
    <w:rsid w:val="001C5039"/>
    <w:rsid w:val="001C6CED"/>
    <w:rsid w:val="001C72F1"/>
    <w:rsid w:val="001D10D5"/>
    <w:rsid w:val="001D217E"/>
    <w:rsid w:val="001D472C"/>
    <w:rsid w:val="001D4B7D"/>
    <w:rsid w:val="001D4DDA"/>
    <w:rsid w:val="001D5C3C"/>
    <w:rsid w:val="001D606E"/>
    <w:rsid w:val="001E1736"/>
    <w:rsid w:val="001E3794"/>
    <w:rsid w:val="001F36AC"/>
    <w:rsid w:val="001F5577"/>
    <w:rsid w:val="001F7C84"/>
    <w:rsid w:val="00200098"/>
    <w:rsid w:val="002026BE"/>
    <w:rsid w:val="00202F8B"/>
    <w:rsid w:val="00204A60"/>
    <w:rsid w:val="00205ADE"/>
    <w:rsid w:val="00210B51"/>
    <w:rsid w:val="00212F5F"/>
    <w:rsid w:val="00213B2D"/>
    <w:rsid w:val="00216266"/>
    <w:rsid w:val="002163E1"/>
    <w:rsid w:val="0021679D"/>
    <w:rsid w:val="00216C25"/>
    <w:rsid w:val="00216D37"/>
    <w:rsid w:val="00217CFB"/>
    <w:rsid w:val="00225CD3"/>
    <w:rsid w:val="00230D0C"/>
    <w:rsid w:val="0023269B"/>
    <w:rsid w:val="00232792"/>
    <w:rsid w:val="00232853"/>
    <w:rsid w:val="00236B14"/>
    <w:rsid w:val="002406DE"/>
    <w:rsid w:val="00242F5E"/>
    <w:rsid w:val="00243B12"/>
    <w:rsid w:val="002472A8"/>
    <w:rsid w:val="00250429"/>
    <w:rsid w:val="00250EF8"/>
    <w:rsid w:val="00252021"/>
    <w:rsid w:val="00252538"/>
    <w:rsid w:val="0025412C"/>
    <w:rsid w:val="00257033"/>
    <w:rsid w:val="00260F8E"/>
    <w:rsid w:val="0026165A"/>
    <w:rsid w:val="00262458"/>
    <w:rsid w:val="0026457B"/>
    <w:rsid w:val="00265194"/>
    <w:rsid w:val="00266034"/>
    <w:rsid w:val="00271E04"/>
    <w:rsid w:val="0027248A"/>
    <w:rsid w:val="00274A75"/>
    <w:rsid w:val="00275D8B"/>
    <w:rsid w:val="002764A2"/>
    <w:rsid w:val="00276E7E"/>
    <w:rsid w:val="00277E3D"/>
    <w:rsid w:val="002827F4"/>
    <w:rsid w:val="00283190"/>
    <w:rsid w:val="002838AB"/>
    <w:rsid w:val="0029007A"/>
    <w:rsid w:val="00290BAA"/>
    <w:rsid w:val="0029251D"/>
    <w:rsid w:val="00292774"/>
    <w:rsid w:val="00294165"/>
    <w:rsid w:val="002A2220"/>
    <w:rsid w:val="002A3E84"/>
    <w:rsid w:val="002A5292"/>
    <w:rsid w:val="002A61D6"/>
    <w:rsid w:val="002A7A83"/>
    <w:rsid w:val="002A7F1A"/>
    <w:rsid w:val="002A7FFA"/>
    <w:rsid w:val="002B0BB5"/>
    <w:rsid w:val="002B30DB"/>
    <w:rsid w:val="002B40A5"/>
    <w:rsid w:val="002B4BE0"/>
    <w:rsid w:val="002B6FBE"/>
    <w:rsid w:val="002B7475"/>
    <w:rsid w:val="002C161E"/>
    <w:rsid w:val="002C1E14"/>
    <w:rsid w:val="002C26F5"/>
    <w:rsid w:val="002C372F"/>
    <w:rsid w:val="002C48C6"/>
    <w:rsid w:val="002C4943"/>
    <w:rsid w:val="002C5740"/>
    <w:rsid w:val="002C5AE9"/>
    <w:rsid w:val="002C67D2"/>
    <w:rsid w:val="002D0F66"/>
    <w:rsid w:val="002D253A"/>
    <w:rsid w:val="002D2ABA"/>
    <w:rsid w:val="002D33AD"/>
    <w:rsid w:val="002E1B4F"/>
    <w:rsid w:val="002E1D67"/>
    <w:rsid w:val="002E47D4"/>
    <w:rsid w:val="002E4841"/>
    <w:rsid w:val="002E54E6"/>
    <w:rsid w:val="002F1845"/>
    <w:rsid w:val="002F7E43"/>
    <w:rsid w:val="00304EB8"/>
    <w:rsid w:val="00305BE7"/>
    <w:rsid w:val="0031047E"/>
    <w:rsid w:val="00311805"/>
    <w:rsid w:val="003134B2"/>
    <w:rsid w:val="0031387F"/>
    <w:rsid w:val="00323434"/>
    <w:rsid w:val="00323A57"/>
    <w:rsid w:val="003248AA"/>
    <w:rsid w:val="00324A45"/>
    <w:rsid w:val="003255C3"/>
    <w:rsid w:val="00325B5A"/>
    <w:rsid w:val="003276F4"/>
    <w:rsid w:val="00327830"/>
    <w:rsid w:val="003300C6"/>
    <w:rsid w:val="0033111B"/>
    <w:rsid w:val="003320BA"/>
    <w:rsid w:val="00333C28"/>
    <w:rsid w:val="00335195"/>
    <w:rsid w:val="0033790D"/>
    <w:rsid w:val="00337FB8"/>
    <w:rsid w:val="00344103"/>
    <w:rsid w:val="0034534C"/>
    <w:rsid w:val="003453D6"/>
    <w:rsid w:val="003453E0"/>
    <w:rsid w:val="00346D1D"/>
    <w:rsid w:val="00347491"/>
    <w:rsid w:val="00350B68"/>
    <w:rsid w:val="00350C16"/>
    <w:rsid w:val="0035180A"/>
    <w:rsid w:val="00351BE0"/>
    <w:rsid w:val="00351D0D"/>
    <w:rsid w:val="00351E92"/>
    <w:rsid w:val="00352222"/>
    <w:rsid w:val="0035384A"/>
    <w:rsid w:val="00354582"/>
    <w:rsid w:val="0035471F"/>
    <w:rsid w:val="00355130"/>
    <w:rsid w:val="00361BD7"/>
    <w:rsid w:val="003624DC"/>
    <w:rsid w:val="003636B9"/>
    <w:rsid w:val="00366C28"/>
    <w:rsid w:val="00370355"/>
    <w:rsid w:val="00371214"/>
    <w:rsid w:val="00372584"/>
    <w:rsid w:val="00373F94"/>
    <w:rsid w:val="00374219"/>
    <w:rsid w:val="003746B5"/>
    <w:rsid w:val="00374D74"/>
    <w:rsid w:val="00375CD0"/>
    <w:rsid w:val="0038018A"/>
    <w:rsid w:val="00380C63"/>
    <w:rsid w:val="0038246E"/>
    <w:rsid w:val="003844AA"/>
    <w:rsid w:val="003877E3"/>
    <w:rsid w:val="00387E04"/>
    <w:rsid w:val="003910D8"/>
    <w:rsid w:val="00391774"/>
    <w:rsid w:val="0039199D"/>
    <w:rsid w:val="003924FB"/>
    <w:rsid w:val="00392DB8"/>
    <w:rsid w:val="00394365"/>
    <w:rsid w:val="00394CD5"/>
    <w:rsid w:val="00395268"/>
    <w:rsid w:val="003968B2"/>
    <w:rsid w:val="00396E91"/>
    <w:rsid w:val="00397FF4"/>
    <w:rsid w:val="003A1251"/>
    <w:rsid w:val="003A1335"/>
    <w:rsid w:val="003A167F"/>
    <w:rsid w:val="003A28D0"/>
    <w:rsid w:val="003A3023"/>
    <w:rsid w:val="003A5EED"/>
    <w:rsid w:val="003B289F"/>
    <w:rsid w:val="003B498D"/>
    <w:rsid w:val="003B6AA0"/>
    <w:rsid w:val="003B6AFC"/>
    <w:rsid w:val="003C1890"/>
    <w:rsid w:val="003C2A14"/>
    <w:rsid w:val="003C7896"/>
    <w:rsid w:val="003C7A00"/>
    <w:rsid w:val="003C7D6E"/>
    <w:rsid w:val="003D5950"/>
    <w:rsid w:val="003E04E6"/>
    <w:rsid w:val="003E200C"/>
    <w:rsid w:val="003E346A"/>
    <w:rsid w:val="003E358F"/>
    <w:rsid w:val="003E51B9"/>
    <w:rsid w:val="003F0C98"/>
    <w:rsid w:val="003F1B36"/>
    <w:rsid w:val="003F237F"/>
    <w:rsid w:val="003F50C3"/>
    <w:rsid w:val="003F70CB"/>
    <w:rsid w:val="003F78D1"/>
    <w:rsid w:val="00400768"/>
    <w:rsid w:val="004041F1"/>
    <w:rsid w:val="00404245"/>
    <w:rsid w:val="004050B6"/>
    <w:rsid w:val="00405430"/>
    <w:rsid w:val="004069F3"/>
    <w:rsid w:val="00410AAE"/>
    <w:rsid w:val="00411511"/>
    <w:rsid w:val="004118CF"/>
    <w:rsid w:val="00412182"/>
    <w:rsid w:val="004123FA"/>
    <w:rsid w:val="004124AA"/>
    <w:rsid w:val="004154BC"/>
    <w:rsid w:val="00415806"/>
    <w:rsid w:val="004166F6"/>
    <w:rsid w:val="00416B58"/>
    <w:rsid w:val="00417603"/>
    <w:rsid w:val="00420006"/>
    <w:rsid w:val="00421BB0"/>
    <w:rsid w:val="0042443F"/>
    <w:rsid w:val="00424C70"/>
    <w:rsid w:val="004279AD"/>
    <w:rsid w:val="00430782"/>
    <w:rsid w:val="00432B42"/>
    <w:rsid w:val="00436F9B"/>
    <w:rsid w:val="004411CC"/>
    <w:rsid w:val="00441250"/>
    <w:rsid w:val="00441AC6"/>
    <w:rsid w:val="00442EC7"/>
    <w:rsid w:val="00443D84"/>
    <w:rsid w:val="00444A61"/>
    <w:rsid w:val="00445C49"/>
    <w:rsid w:val="00446095"/>
    <w:rsid w:val="004471F8"/>
    <w:rsid w:val="0044733F"/>
    <w:rsid w:val="00447D6D"/>
    <w:rsid w:val="00452448"/>
    <w:rsid w:val="00454F98"/>
    <w:rsid w:val="00455F36"/>
    <w:rsid w:val="004564FF"/>
    <w:rsid w:val="004577DF"/>
    <w:rsid w:val="004603BE"/>
    <w:rsid w:val="00460F4F"/>
    <w:rsid w:val="00461620"/>
    <w:rsid w:val="00465AFA"/>
    <w:rsid w:val="004664AD"/>
    <w:rsid w:val="004673DF"/>
    <w:rsid w:val="0047133B"/>
    <w:rsid w:val="00472129"/>
    <w:rsid w:val="004735A1"/>
    <w:rsid w:val="0047382C"/>
    <w:rsid w:val="00476EA8"/>
    <w:rsid w:val="0048202A"/>
    <w:rsid w:val="00485017"/>
    <w:rsid w:val="00485F28"/>
    <w:rsid w:val="00486CAA"/>
    <w:rsid w:val="0048703E"/>
    <w:rsid w:val="0048729C"/>
    <w:rsid w:val="004901CD"/>
    <w:rsid w:val="00491351"/>
    <w:rsid w:val="0049259F"/>
    <w:rsid w:val="00492645"/>
    <w:rsid w:val="004A082F"/>
    <w:rsid w:val="004A1E22"/>
    <w:rsid w:val="004A3986"/>
    <w:rsid w:val="004A61BF"/>
    <w:rsid w:val="004A6D71"/>
    <w:rsid w:val="004B4A98"/>
    <w:rsid w:val="004B75BE"/>
    <w:rsid w:val="004B7A2F"/>
    <w:rsid w:val="004C13D2"/>
    <w:rsid w:val="004C324F"/>
    <w:rsid w:val="004D0F4F"/>
    <w:rsid w:val="004D1237"/>
    <w:rsid w:val="004D2020"/>
    <w:rsid w:val="004D31BC"/>
    <w:rsid w:val="004D704F"/>
    <w:rsid w:val="004D746C"/>
    <w:rsid w:val="004E542D"/>
    <w:rsid w:val="004E561D"/>
    <w:rsid w:val="004F178A"/>
    <w:rsid w:val="004F241C"/>
    <w:rsid w:val="004F3D12"/>
    <w:rsid w:val="004F5C0D"/>
    <w:rsid w:val="004F66B8"/>
    <w:rsid w:val="004F79CC"/>
    <w:rsid w:val="004F7BD0"/>
    <w:rsid w:val="00500489"/>
    <w:rsid w:val="0050516C"/>
    <w:rsid w:val="005056B6"/>
    <w:rsid w:val="00507DE7"/>
    <w:rsid w:val="00512A6F"/>
    <w:rsid w:val="0051547D"/>
    <w:rsid w:val="00516028"/>
    <w:rsid w:val="00516370"/>
    <w:rsid w:val="0051699D"/>
    <w:rsid w:val="005202B3"/>
    <w:rsid w:val="00521380"/>
    <w:rsid w:val="005227E9"/>
    <w:rsid w:val="005228FB"/>
    <w:rsid w:val="005248AF"/>
    <w:rsid w:val="00526C3B"/>
    <w:rsid w:val="005272E0"/>
    <w:rsid w:val="00530517"/>
    <w:rsid w:val="00532710"/>
    <w:rsid w:val="00533301"/>
    <w:rsid w:val="00533E74"/>
    <w:rsid w:val="00534872"/>
    <w:rsid w:val="00535690"/>
    <w:rsid w:val="0053605D"/>
    <w:rsid w:val="0054281E"/>
    <w:rsid w:val="00544507"/>
    <w:rsid w:val="005452B2"/>
    <w:rsid w:val="00547193"/>
    <w:rsid w:val="00550250"/>
    <w:rsid w:val="00554413"/>
    <w:rsid w:val="0055511A"/>
    <w:rsid w:val="00555D6D"/>
    <w:rsid w:val="0055643F"/>
    <w:rsid w:val="00556D7A"/>
    <w:rsid w:val="0056127E"/>
    <w:rsid w:val="0056515D"/>
    <w:rsid w:val="00566632"/>
    <w:rsid w:val="00570238"/>
    <w:rsid w:val="00570267"/>
    <w:rsid w:val="005710E5"/>
    <w:rsid w:val="00574D3E"/>
    <w:rsid w:val="005757FE"/>
    <w:rsid w:val="00575A9B"/>
    <w:rsid w:val="005772B3"/>
    <w:rsid w:val="00581F7A"/>
    <w:rsid w:val="0058288C"/>
    <w:rsid w:val="0058502B"/>
    <w:rsid w:val="00587647"/>
    <w:rsid w:val="00593D25"/>
    <w:rsid w:val="00594FFB"/>
    <w:rsid w:val="00595FCC"/>
    <w:rsid w:val="005978DB"/>
    <w:rsid w:val="005A14F6"/>
    <w:rsid w:val="005A2527"/>
    <w:rsid w:val="005A2533"/>
    <w:rsid w:val="005A32B5"/>
    <w:rsid w:val="005A49F8"/>
    <w:rsid w:val="005A62B6"/>
    <w:rsid w:val="005B3173"/>
    <w:rsid w:val="005B474B"/>
    <w:rsid w:val="005B54A5"/>
    <w:rsid w:val="005B608F"/>
    <w:rsid w:val="005C0711"/>
    <w:rsid w:val="005C14B2"/>
    <w:rsid w:val="005C1F43"/>
    <w:rsid w:val="005C5035"/>
    <w:rsid w:val="005C5C3E"/>
    <w:rsid w:val="005C6B6C"/>
    <w:rsid w:val="005D0624"/>
    <w:rsid w:val="005D0C49"/>
    <w:rsid w:val="005D1A93"/>
    <w:rsid w:val="005D5C70"/>
    <w:rsid w:val="005D7A20"/>
    <w:rsid w:val="005F4713"/>
    <w:rsid w:val="005F7BF3"/>
    <w:rsid w:val="006052A1"/>
    <w:rsid w:val="00607EA7"/>
    <w:rsid w:val="0061326C"/>
    <w:rsid w:val="00613F6B"/>
    <w:rsid w:val="00614133"/>
    <w:rsid w:val="00614E95"/>
    <w:rsid w:val="00616C7B"/>
    <w:rsid w:val="006205C0"/>
    <w:rsid w:val="0062506F"/>
    <w:rsid w:val="006302AA"/>
    <w:rsid w:val="00630A8C"/>
    <w:rsid w:val="00631DCA"/>
    <w:rsid w:val="006326CB"/>
    <w:rsid w:val="00633E20"/>
    <w:rsid w:val="00634182"/>
    <w:rsid w:val="006356DF"/>
    <w:rsid w:val="00635CB3"/>
    <w:rsid w:val="00642CC0"/>
    <w:rsid w:val="00642FF6"/>
    <w:rsid w:val="006438FF"/>
    <w:rsid w:val="00643F6B"/>
    <w:rsid w:val="00644279"/>
    <w:rsid w:val="00644B98"/>
    <w:rsid w:val="0064592E"/>
    <w:rsid w:val="00646963"/>
    <w:rsid w:val="0064790C"/>
    <w:rsid w:val="00650F70"/>
    <w:rsid w:val="00651B45"/>
    <w:rsid w:val="006522A8"/>
    <w:rsid w:val="00654E6A"/>
    <w:rsid w:val="00660494"/>
    <w:rsid w:val="006627DC"/>
    <w:rsid w:val="00663E24"/>
    <w:rsid w:val="00667FA2"/>
    <w:rsid w:val="00670316"/>
    <w:rsid w:val="00673B55"/>
    <w:rsid w:val="00674263"/>
    <w:rsid w:val="00675EAA"/>
    <w:rsid w:val="00676EEE"/>
    <w:rsid w:val="0067701D"/>
    <w:rsid w:val="0067719E"/>
    <w:rsid w:val="0067753F"/>
    <w:rsid w:val="00680536"/>
    <w:rsid w:val="00681E1F"/>
    <w:rsid w:val="00682222"/>
    <w:rsid w:val="00683811"/>
    <w:rsid w:val="00684CD0"/>
    <w:rsid w:val="0068538F"/>
    <w:rsid w:val="00686106"/>
    <w:rsid w:val="00687804"/>
    <w:rsid w:val="00691982"/>
    <w:rsid w:val="006928B6"/>
    <w:rsid w:val="00692EAC"/>
    <w:rsid w:val="00695B53"/>
    <w:rsid w:val="006A1D21"/>
    <w:rsid w:val="006A302B"/>
    <w:rsid w:val="006A7169"/>
    <w:rsid w:val="006B05F8"/>
    <w:rsid w:val="006B1AF5"/>
    <w:rsid w:val="006B2451"/>
    <w:rsid w:val="006B5FCD"/>
    <w:rsid w:val="006B61DD"/>
    <w:rsid w:val="006B7514"/>
    <w:rsid w:val="006C107C"/>
    <w:rsid w:val="006C2CB2"/>
    <w:rsid w:val="006C3602"/>
    <w:rsid w:val="006C7785"/>
    <w:rsid w:val="006D2D9D"/>
    <w:rsid w:val="006D463C"/>
    <w:rsid w:val="006D49EF"/>
    <w:rsid w:val="006D4D77"/>
    <w:rsid w:val="006D5EA2"/>
    <w:rsid w:val="006D7562"/>
    <w:rsid w:val="006E2758"/>
    <w:rsid w:val="006E4CE3"/>
    <w:rsid w:val="006E5CF7"/>
    <w:rsid w:val="006F0638"/>
    <w:rsid w:val="006F45EF"/>
    <w:rsid w:val="006F48D5"/>
    <w:rsid w:val="006F73C9"/>
    <w:rsid w:val="006F768C"/>
    <w:rsid w:val="006F78B1"/>
    <w:rsid w:val="006F7B2C"/>
    <w:rsid w:val="0070029A"/>
    <w:rsid w:val="007025BB"/>
    <w:rsid w:val="00703E78"/>
    <w:rsid w:val="00704EB0"/>
    <w:rsid w:val="0070586E"/>
    <w:rsid w:val="00706BB9"/>
    <w:rsid w:val="00706BFD"/>
    <w:rsid w:val="00707DA9"/>
    <w:rsid w:val="007131EC"/>
    <w:rsid w:val="00713626"/>
    <w:rsid w:val="00714B35"/>
    <w:rsid w:val="0071583A"/>
    <w:rsid w:val="00715A1E"/>
    <w:rsid w:val="0071617D"/>
    <w:rsid w:val="00720313"/>
    <w:rsid w:val="00722324"/>
    <w:rsid w:val="00724CB0"/>
    <w:rsid w:val="007252EC"/>
    <w:rsid w:val="00726171"/>
    <w:rsid w:val="007304BA"/>
    <w:rsid w:val="0073078F"/>
    <w:rsid w:val="00731A68"/>
    <w:rsid w:val="00734FF2"/>
    <w:rsid w:val="0073642A"/>
    <w:rsid w:val="00736E6E"/>
    <w:rsid w:val="007421A6"/>
    <w:rsid w:val="0074573A"/>
    <w:rsid w:val="007464D1"/>
    <w:rsid w:val="00750052"/>
    <w:rsid w:val="00750090"/>
    <w:rsid w:val="007526F3"/>
    <w:rsid w:val="00752D09"/>
    <w:rsid w:val="00754E76"/>
    <w:rsid w:val="00756197"/>
    <w:rsid w:val="00756906"/>
    <w:rsid w:val="007574BD"/>
    <w:rsid w:val="00757664"/>
    <w:rsid w:val="007577A6"/>
    <w:rsid w:val="00761E6C"/>
    <w:rsid w:val="007639CE"/>
    <w:rsid w:val="00764DC3"/>
    <w:rsid w:val="0076509D"/>
    <w:rsid w:val="007652E2"/>
    <w:rsid w:val="00765AF3"/>
    <w:rsid w:val="00766603"/>
    <w:rsid w:val="007748FD"/>
    <w:rsid w:val="00775946"/>
    <w:rsid w:val="00776773"/>
    <w:rsid w:val="0078538A"/>
    <w:rsid w:val="00785945"/>
    <w:rsid w:val="00786623"/>
    <w:rsid w:val="007902E5"/>
    <w:rsid w:val="007916F1"/>
    <w:rsid w:val="0079334A"/>
    <w:rsid w:val="00795556"/>
    <w:rsid w:val="0079556A"/>
    <w:rsid w:val="00795A14"/>
    <w:rsid w:val="007A0A2B"/>
    <w:rsid w:val="007A2223"/>
    <w:rsid w:val="007A528E"/>
    <w:rsid w:val="007A6747"/>
    <w:rsid w:val="007A712A"/>
    <w:rsid w:val="007B016E"/>
    <w:rsid w:val="007B1019"/>
    <w:rsid w:val="007B4760"/>
    <w:rsid w:val="007B5EF4"/>
    <w:rsid w:val="007B651D"/>
    <w:rsid w:val="007C08EB"/>
    <w:rsid w:val="007C1403"/>
    <w:rsid w:val="007C403F"/>
    <w:rsid w:val="007C4D11"/>
    <w:rsid w:val="007C4F4E"/>
    <w:rsid w:val="007C519E"/>
    <w:rsid w:val="007C5998"/>
    <w:rsid w:val="007D0045"/>
    <w:rsid w:val="007D3673"/>
    <w:rsid w:val="007D5AFE"/>
    <w:rsid w:val="007D5E67"/>
    <w:rsid w:val="007D6091"/>
    <w:rsid w:val="007D6435"/>
    <w:rsid w:val="007D7C27"/>
    <w:rsid w:val="007E09A7"/>
    <w:rsid w:val="007E0D8F"/>
    <w:rsid w:val="007E18F5"/>
    <w:rsid w:val="007E3DF6"/>
    <w:rsid w:val="007E71C8"/>
    <w:rsid w:val="007E7ECD"/>
    <w:rsid w:val="007F17DB"/>
    <w:rsid w:val="007F1925"/>
    <w:rsid w:val="007F1B75"/>
    <w:rsid w:val="007F212A"/>
    <w:rsid w:val="007F358C"/>
    <w:rsid w:val="007F38D9"/>
    <w:rsid w:val="007F5887"/>
    <w:rsid w:val="0080030C"/>
    <w:rsid w:val="008026E7"/>
    <w:rsid w:val="008065CD"/>
    <w:rsid w:val="008100C0"/>
    <w:rsid w:val="008114A9"/>
    <w:rsid w:val="00812097"/>
    <w:rsid w:val="0081405A"/>
    <w:rsid w:val="008238FE"/>
    <w:rsid w:val="008276A7"/>
    <w:rsid w:val="00833ABE"/>
    <w:rsid w:val="00833D95"/>
    <w:rsid w:val="00834675"/>
    <w:rsid w:val="00834A9B"/>
    <w:rsid w:val="00834C0C"/>
    <w:rsid w:val="00836CFC"/>
    <w:rsid w:val="00836D04"/>
    <w:rsid w:val="00837550"/>
    <w:rsid w:val="008407C4"/>
    <w:rsid w:val="00840CC1"/>
    <w:rsid w:val="00841213"/>
    <w:rsid w:val="008447AD"/>
    <w:rsid w:val="00845F12"/>
    <w:rsid w:val="008508F5"/>
    <w:rsid w:val="00852F8B"/>
    <w:rsid w:val="00852F8D"/>
    <w:rsid w:val="00854466"/>
    <w:rsid w:val="0085465C"/>
    <w:rsid w:val="00854C93"/>
    <w:rsid w:val="00855831"/>
    <w:rsid w:val="008600B8"/>
    <w:rsid w:val="00860B41"/>
    <w:rsid w:val="00861543"/>
    <w:rsid w:val="00861717"/>
    <w:rsid w:val="00861729"/>
    <w:rsid w:val="008617F2"/>
    <w:rsid w:val="00861FB2"/>
    <w:rsid w:val="00863EB0"/>
    <w:rsid w:val="00864513"/>
    <w:rsid w:val="00864AD7"/>
    <w:rsid w:val="008672F5"/>
    <w:rsid w:val="00873CAA"/>
    <w:rsid w:val="00874B93"/>
    <w:rsid w:val="00875251"/>
    <w:rsid w:val="00875C93"/>
    <w:rsid w:val="00875F4E"/>
    <w:rsid w:val="0087636E"/>
    <w:rsid w:val="00876C34"/>
    <w:rsid w:val="008816F3"/>
    <w:rsid w:val="00882129"/>
    <w:rsid w:val="0088362B"/>
    <w:rsid w:val="0088501A"/>
    <w:rsid w:val="0088668B"/>
    <w:rsid w:val="00887332"/>
    <w:rsid w:val="00890294"/>
    <w:rsid w:val="00895A3C"/>
    <w:rsid w:val="008A2CDD"/>
    <w:rsid w:val="008A30AE"/>
    <w:rsid w:val="008A31DA"/>
    <w:rsid w:val="008A4565"/>
    <w:rsid w:val="008A4EC1"/>
    <w:rsid w:val="008A61E6"/>
    <w:rsid w:val="008A6DA4"/>
    <w:rsid w:val="008A6FEF"/>
    <w:rsid w:val="008A7492"/>
    <w:rsid w:val="008A778D"/>
    <w:rsid w:val="008B0F4F"/>
    <w:rsid w:val="008B18E7"/>
    <w:rsid w:val="008B2782"/>
    <w:rsid w:val="008B32F6"/>
    <w:rsid w:val="008B3EC0"/>
    <w:rsid w:val="008B4418"/>
    <w:rsid w:val="008B607E"/>
    <w:rsid w:val="008B779C"/>
    <w:rsid w:val="008C11A1"/>
    <w:rsid w:val="008C12CB"/>
    <w:rsid w:val="008C1A50"/>
    <w:rsid w:val="008C2B1B"/>
    <w:rsid w:val="008C2B4D"/>
    <w:rsid w:val="008C4382"/>
    <w:rsid w:val="008C4D3E"/>
    <w:rsid w:val="008C5A71"/>
    <w:rsid w:val="008C6B34"/>
    <w:rsid w:val="008D1538"/>
    <w:rsid w:val="008D2264"/>
    <w:rsid w:val="008D2A1A"/>
    <w:rsid w:val="008D48D9"/>
    <w:rsid w:val="008D4EB6"/>
    <w:rsid w:val="008D5369"/>
    <w:rsid w:val="008D6C7D"/>
    <w:rsid w:val="008E1E9D"/>
    <w:rsid w:val="008E28A8"/>
    <w:rsid w:val="008E42F3"/>
    <w:rsid w:val="008F04C0"/>
    <w:rsid w:val="008F14C4"/>
    <w:rsid w:val="008F2939"/>
    <w:rsid w:val="008F2B9C"/>
    <w:rsid w:val="008F2C8E"/>
    <w:rsid w:val="008F3805"/>
    <w:rsid w:val="008F69C3"/>
    <w:rsid w:val="00906A47"/>
    <w:rsid w:val="00907928"/>
    <w:rsid w:val="00910086"/>
    <w:rsid w:val="00910630"/>
    <w:rsid w:val="00912426"/>
    <w:rsid w:val="00912FB5"/>
    <w:rsid w:val="00913069"/>
    <w:rsid w:val="009158B7"/>
    <w:rsid w:val="00921F92"/>
    <w:rsid w:val="00932C0B"/>
    <w:rsid w:val="009332DF"/>
    <w:rsid w:val="009346D3"/>
    <w:rsid w:val="0093582D"/>
    <w:rsid w:val="00940909"/>
    <w:rsid w:val="0094188C"/>
    <w:rsid w:val="00942BC4"/>
    <w:rsid w:val="00942D3B"/>
    <w:rsid w:val="00950122"/>
    <w:rsid w:val="009505E6"/>
    <w:rsid w:val="00950CEF"/>
    <w:rsid w:val="00950E03"/>
    <w:rsid w:val="00951742"/>
    <w:rsid w:val="00952CBE"/>
    <w:rsid w:val="009538D7"/>
    <w:rsid w:val="00954267"/>
    <w:rsid w:val="009629DF"/>
    <w:rsid w:val="00964BC3"/>
    <w:rsid w:val="00966DEF"/>
    <w:rsid w:val="00970E42"/>
    <w:rsid w:val="00972944"/>
    <w:rsid w:val="009749A3"/>
    <w:rsid w:val="00976A55"/>
    <w:rsid w:val="009777B3"/>
    <w:rsid w:val="009778A1"/>
    <w:rsid w:val="0098344C"/>
    <w:rsid w:val="00983ED3"/>
    <w:rsid w:val="00984D96"/>
    <w:rsid w:val="00987CAC"/>
    <w:rsid w:val="00990A80"/>
    <w:rsid w:val="00996749"/>
    <w:rsid w:val="00996BAF"/>
    <w:rsid w:val="00997392"/>
    <w:rsid w:val="00997EAE"/>
    <w:rsid w:val="009A0AAB"/>
    <w:rsid w:val="009A1E43"/>
    <w:rsid w:val="009A231D"/>
    <w:rsid w:val="009A27EF"/>
    <w:rsid w:val="009A36B2"/>
    <w:rsid w:val="009A3A52"/>
    <w:rsid w:val="009A41E8"/>
    <w:rsid w:val="009A43FD"/>
    <w:rsid w:val="009A526A"/>
    <w:rsid w:val="009A7BC4"/>
    <w:rsid w:val="009A7D1C"/>
    <w:rsid w:val="009B23E8"/>
    <w:rsid w:val="009B24F2"/>
    <w:rsid w:val="009B5442"/>
    <w:rsid w:val="009B6041"/>
    <w:rsid w:val="009B62D5"/>
    <w:rsid w:val="009C0C1C"/>
    <w:rsid w:val="009C1446"/>
    <w:rsid w:val="009C490D"/>
    <w:rsid w:val="009C78D0"/>
    <w:rsid w:val="009D02BF"/>
    <w:rsid w:val="009D40D7"/>
    <w:rsid w:val="009D595D"/>
    <w:rsid w:val="009D5F1D"/>
    <w:rsid w:val="009D7AF9"/>
    <w:rsid w:val="009E000D"/>
    <w:rsid w:val="009E02BD"/>
    <w:rsid w:val="009E24D3"/>
    <w:rsid w:val="009E256F"/>
    <w:rsid w:val="009E2CA1"/>
    <w:rsid w:val="009E3F42"/>
    <w:rsid w:val="009E4606"/>
    <w:rsid w:val="009E4920"/>
    <w:rsid w:val="009E4BFE"/>
    <w:rsid w:val="009E4C5B"/>
    <w:rsid w:val="009E5540"/>
    <w:rsid w:val="009E7B32"/>
    <w:rsid w:val="009F100B"/>
    <w:rsid w:val="009F2D01"/>
    <w:rsid w:val="009F3D79"/>
    <w:rsid w:val="009F483A"/>
    <w:rsid w:val="009F7351"/>
    <w:rsid w:val="009F748F"/>
    <w:rsid w:val="00A00172"/>
    <w:rsid w:val="00A006A2"/>
    <w:rsid w:val="00A01295"/>
    <w:rsid w:val="00A01B81"/>
    <w:rsid w:val="00A03D97"/>
    <w:rsid w:val="00A04849"/>
    <w:rsid w:val="00A051D1"/>
    <w:rsid w:val="00A070A2"/>
    <w:rsid w:val="00A07834"/>
    <w:rsid w:val="00A10976"/>
    <w:rsid w:val="00A10CE6"/>
    <w:rsid w:val="00A10D20"/>
    <w:rsid w:val="00A11472"/>
    <w:rsid w:val="00A137F7"/>
    <w:rsid w:val="00A166EC"/>
    <w:rsid w:val="00A167F3"/>
    <w:rsid w:val="00A16934"/>
    <w:rsid w:val="00A214C5"/>
    <w:rsid w:val="00A21D67"/>
    <w:rsid w:val="00A24ECD"/>
    <w:rsid w:val="00A24FCE"/>
    <w:rsid w:val="00A250F1"/>
    <w:rsid w:val="00A26818"/>
    <w:rsid w:val="00A306C1"/>
    <w:rsid w:val="00A30BC1"/>
    <w:rsid w:val="00A319BB"/>
    <w:rsid w:val="00A32441"/>
    <w:rsid w:val="00A32708"/>
    <w:rsid w:val="00A342B1"/>
    <w:rsid w:val="00A34345"/>
    <w:rsid w:val="00A361C2"/>
    <w:rsid w:val="00A368F7"/>
    <w:rsid w:val="00A36AC7"/>
    <w:rsid w:val="00A42B87"/>
    <w:rsid w:val="00A44CD5"/>
    <w:rsid w:val="00A463C1"/>
    <w:rsid w:val="00A46CB7"/>
    <w:rsid w:val="00A5100B"/>
    <w:rsid w:val="00A53136"/>
    <w:rsid w:val="00A563E6"/>
    <w:rsid w:val="00A60EF7"/>
    <w:rsid w:val="00A625A6"/>
    <w:rsid w:val="00A65116"/>
    <w:rsid w:val="00A6734A"/>
    <w:rsid w:val="00A7204E"/>
    <w:rsid w:val="00A77730"/>
    <w:rsid w:val="00A81856"/>
    <w:rsid w:val="00A82F76"/>
    <w:rsid w:val="00A84730"/>
    <w:rsid w:val="00A8611A"/>
    <w:rsid w:val="00A8657A"/>
    <w:rsid w:val="00A873A3"/>
    <w:rsid w:val="00A92991"/>
    <w:rsid w:val="00A931F8"/>
    <w:rsid w:val="00A93C77"/>
    <w:rsid w:val="00A9513E"/>
    <w:rsid w:val="00A95AF0"/>
    <w:rsid w:val="00AA16C2"/>
    <w:rsid w:val="00AA1E1C"/>
    <w:rsid w:val="00AA43B6"/>
    <w:rsid w:val="00AB01BF"/>
    <w:rsid w:val="00AB0650"/>
    <w:rsid w:val="00AB11B0"/>
    <w:rsid w:val="00AB1579"/>
    <w:rsid w:val="00AB36E7"/>
    <w:rsid w:val="00AB3F11"/>
    <w:rsid w:val="00AB529E"/>
    <w:rsid w:val="00AB56D6"/>
    <w:rsid w:val="00AB5CD6"/>
    <w:rsid w:val="00AB5F72"/>
    <w:rsid w:val="00AB60E4"/>
    <w:rsid w:val="00AB7A41"/>
    <w:rsid w:val="00AC11E3"/>
    <w:rsid w:val="00AC1B6B"/>
    <w:rsid w:val="00AC4EA6"/>
    <w:rsid w:val="00AC70BF"/>
    <w:rsid w:val="00AC79D9"/>
    <w:rsid w:val="00AD6310"/>
    <w:rsid w:val="00AE025A"/>
    <w:rsid w:val="00AE02A2"/>
    <w:rsid w:val="00AE0A2A"/>
    <w:rsid w:val="00AF0EBE"/>
    <w:rsid w:val="00AF3EA9"/>
    <w:rsid w:val="00AF40F2"/>
    <w:rsid w:val="00B01852"/>
    <w:rsid w:val="00B041C1"/>
    <w:rsid w:val="00B0517B"/>
    <w:rsid w:val="00B0585A"/>
    <w:rsid w:val="00B108F3"/>
    <w:rsid w:val="00B13247"/>
    <w:rsid w:val="00B14B15"/>
    <w:rsid w:val="00B14D69"/>
    <w:rsid w:val="00B162E3"/>
    <w:rsid w:val="00B16327"/>
    <w:rsid w:val="00B175DE"/>
    <w:rsid w:val="00B17D9C"/>
    <w:rsid w:val="00B20652"/>
    <w:rsid w:val="00B21E42"/>
    <w:rsid w:val="00B24053"/>
    <w:rsid w:val="00B325F0"/>
    <w:rsid w:val="00B373FD"/>
    <w:rsid w:val="00B413C3"/>
    <w:rsid w:val="00B41CFC"/>
    <w:rsid w:val="00B466CC"/>
    <w:rsid w:val="00B514AD"/>
    <w:rsid w:val="00B5343C"/>
    <w:rsid w:val="00B5387F"/>
    <w:rsid w:val="00B54859"/>
    <w:rsid w:val="00B54C94"/>
    <w:rsid w:val="00B56DC6"/>
    <w:rsid w:val="00B60457"/>
    <w:rsid w:val="00B63531"/>
    <w:rsid w:val="00B63749"/>
    <w:rsid w:val="00B651F5"/>
    <w:rsid w:val="00B65E8D"/>
    <w:rsid w:val="00B66C79"/>
    <w:rsid w:val="00B710A2"/>
    <w:rsid w:val="00B717EB"/>
    <w:rsid w:val="00B74A4E"/>
    <w:rsid w:val="00B754C9"/>
    <w:rsid w:val="00B9195F"/>
    <w:rsid w:val="00B92B4F"/>
    <w:rsid w:val="00BA3733"/>
    <w:rsid w:val="00BA37C7"/>
    <w:rsid w:val="00BA43B5"/>
    <w:rsid w:val="00BA5C0C"/>
    <w:rsid w:val="00BA7646"/>
    <w:rsid w:val="00BA7FF0"/>
    <w:rsid w:val="00BB0EA7"/>
    <w:rsid w:val="00BB1230"/>
    <w:rsid w:val="00BB54DA"/>
    <w:rsid w:val="00BB5868"/>
    <w:rsid w:val="00BB5B21"/>
    <w:rsid w:val="00BB7430"/>
    <w:rsid w:val="00BC00AE"/>
    <w:rsid w:val="00BC2B7F"/>
    <w:rsid w:val="00BC3BDF"/>
    <w:rsid w:val="00BC4AB9"/>
    <w:rsid w:val="00BC7538"/>
    <w:rsid w:val="00BD1067"/>
    <w:rsid w:val="00BD3B04"/>
    <w:rsid w:val="00BD3EF5"/>
    <w:rsid w:val="00BD6FC8"/>
    <w:rsid w:val="00BD7213"/>
    <w:rsid w:val="00BD7611"/>
    <w:rsid w:val="00BE03C2"/>
    <w:rsid w:val="00BE1885"/>
    <w:rsid w:val="00BE1EDD"/>
    <w:rsid w:val="00BE36DB"/>
    <w:rsid w:val="00BE5B65"/>
    <w:rsid w:val="00BE629E"/>
    <w:rsid w:val="00BE7237"/>
    <w:rsid w:val="00BE73CA"/>
    <w:rsid w:val="00BF0A3D"/>
    <w:rsid w:val="00C01FB4"/>
    <w:rsid w:val="00C02D7B"/>
    <w:rsid w:val="00C03019"/>
    <w:rsid w:val="00C0425E"/>
    <w:rsid w:val="00C045FF"/>
    <w:rsid w:val="00C06CBB"/>
    <w:rsid w:val="00C070F7"/>
    <w:rsid w:val="00C07962"/>
    <w:rsid w:val="00C07F71"/>
    <w:rsid w:val="00C106BC"/>
    <w:rsid w:val="00C11FB6"/>
    <w:rsid w:val="00C1214A"/>
    <w:rsid w:val="00C12793"/>
    <w:rsid w:val="00C1521C"/>
    <w:rsid w:val="00C15C23"/>
    <w:rsid w:val="00C161EE"/>
    <w:rsid w:val="00C171CE"/>
    <w:rsid w:val="00C2005C"/>
    <w:rsid w:val="00C21614"/>
    <w:rsid w:val="00C223D7"/>
    <w:rsid w:val="00C268A4"/>
    <w:rsid w:val="00C30147"/>
    <w:rsid w:val="00C32CD7"/>
    <w:rsid w:val="00C35733"/>
    <w:rsid w:val="00C36312"/>
    <w:rsid w:val="00C4085E"/>
    <w:rsid w:val="00C426C7"/>
    <w:rsid w:val="00C42994"/>
    <w:rsid w:val="00C44685"/>
    <w:rsid w:val="00C44855"/>
    <w:rsid w:val="00C449E7"/>
    <w:rsid w:val="00C51481"/>
    <w:rsid w:val="00C5222D"/>
    <w:rsid w:val="00C53057"/>
    <w:rsid w:val="00C53559"/>
    <w:rsid w:val="00C56349"/>
    <w:rsid w:val="00C57268"/>
    <w:rsid w:val="00C60C47"/>
    <w:rsid w:val="00C6183D"/>
    <w:rsid w:val="00C6193E"/>
    <w:rsid w:val="00C62A2B"/>
    <w:rsid w:val="00C63B22"/>
    <w:rsid w:val="00C72EBE"/>
    <w:rsid w:val="00C77425"/>
    <w:rsid w:val="00C77C98"/>
    <w:rsid w:val="00C8080E"/>
    <w:rsid w:val="00C84C95"/>
    <w:rsid w:val="00C856BF"/>
    <w:rsid w:val="00C91403"/>
    <w:rsid w:val="00C9627C"/>
    <w:rsid w:val="00CA1CD9"/>
    <w:rsid w:val="00CA227C"/>
    <w:rsid w:val="00CA4B12"/>
    <w:rsid w:val="00CA5551"/>
    <w:rsid w:val="00CB0D0E"/>
    <w:rsid w:val="00CB1044"/>
    <w:rsid w:val="00CB1643"/>
    <w:rsid w:val="00CB17FD"/>
    <w:rsid w:val="00CB23EC"/>
    <w:rsid w:val="00CB64E6"/>
    <w:rsid w:val="00CC0525"/>
    <w:rsid w:val="00CC2E28"/>
    <w:rsid w:val="00CC3DA8"/>
    <w:rsid w:val="00CC5421"/>
    <w:rsid w:val="00CC5457"/>
    <w:rsid w:val="00CC64A7"/>
    <w:rsid w:val="00CC6962"/>
    <w:rsid w:val="00CD0624"/>
    <w:rsid w:val="00CD0BC7"/>
    <w:rsid w:val="00CD2E82"/>
    <w:rsid w:val="00CD5770"/>
    <w:rsid w:val="00CD7A72"/>
    <w:rsid w:val="00CE3E0F"/>
    <w:rsid w:val="00CE5E33"/>
    <w:rsid w:val="00CF0D40"/>
    <w:rsid w:val="00CF4129"/>
    <w:rsid w:val="00CF41C3"/>
    <w:rsid w:val="00CF56E3"/>
    <w:rsid w:val="00CF5BE6"/>
    <w:rsid w:val="00CF7C95"/>
    <w:rsid w:val="00D00194"/>
    <w:rsid w:val="00D06052"/>
    <w:rsid w:val="00D0626E"/>
    <w:rsid w:val="00D07256"/>
    <w:rsid w:val="00D076A0"/>
    <w:rsid w:val="00D077B2"/>
    <w:rsid w:val="00D07996"/>
    <w:rsid w:val="00D11350"/>
    <w:rsid w:val="00D115E1"/>
    <w:rsid w:val="00D13C18"/>
    <w:rsid w:val="00D14232"/>
    <w:rsid w:val="00D147F8"/>
    <w:rsid w:val="00D14E79"/>
    <w:rsid w:val="00D1593C"/>
    <w:rsid w:val="00D1595B"/>
    <w:rsid w:val="00D15FB5"/>
    <w:rsid w:val="00D162F5"/>
    <w:rsid w:val="00D16D45"/>
    <w:rsid w:val="00D1720C"/>
    <w:rsid w:val="00D20170"/>
    <w:rsid w:val="00D20187"/>
    <w:rsid w:val="00D202EF"/>
    <w:rsid w:val="00D21E92"/>
    <w:rsid w:val="00D220CB"/>
    <w:rsid w:val="00D23263"/>
    <w:rsid w:val="00D25AA5"/>
    <w:rsid w:val="00D26DDD"/>
    <w:rsid w:val="00D305A7"/>
    <w:rsid w:val="00D30935"/>
    <w:rsid w:val="00D34E1A"/>
    <w:rsid w:val="00D35771"/>
    <w:rsid w:val="00D36DC3"/>
    <w:rsid w:val="00D37457"/>
    <w:rsid w:val="00D40F36"/>
    <w:rsid w:val="00D428A8"/>
    <w:rsid w:val="00D51A8D"/>
    <w:rsid w:val="00D55776"/>
    <w:rsid w:val="00D559A3"/>
    <w:rsid w:val="00D577D7"/>
    <w:rsid w:val="00D61DB5"/>
    <w:rsid w:val="00D632BD"/>
    <w:rsid w:val="00D63956"/>
    <w:rsid w:val="00D64159"/>
    <w:rsid w:val="00D64327"/>
    <w:rsid w:val="00D656B4"/>
    <w:rsid w:val="00D6765E"/>
    <w:rsid w:val="00D67C4A"/>
    <w:rsid w:val="00D72F9E"/>
    <w:rsid w:val="00D76117"/>
    <w:rsid w:val="00D773F7"/>
    <w:rsid w:val="00D80B35"/>
    <w:rsid w:val="00D82B6C"/>
    <w:rsid w:val="00D8726B"/>
    <w:rsid w:val="00D90F57"/>
    <w:rsid w:val="00D924E8"/>
    <w:rsid w:val="00D92531"/>
    <w:rsid w:val="00D94626"/>
    <w:rsid w:val="00D95026"/>
    <w:rsid w:val="00D953AF"/>
    <w:rsid w:val="00D95B52"/>
    <w:rsid w:val="00D9681C"/>
    <w:rsid w:val="00D9754C"/>
    <w:rsid w:val="00DA0DAC"/>
    <w:rsid w:val="00DB2775"/>
    <w:rsid w:val="00DB4EB2"/>
    <w:rsid w:val="00DC3771"/>
    <w:rsid w:val="00DC5C17"/>
    <w:rsid w:val="00DC5D2A"/>
    <w:rsid w:val="00DC6A15"/>
    <w:rsid w:val="00DC6EFE"/>
    <w:rsid w:val="00DC7B72"/>
    <w:rsid w:val="00DD0536"/>
    <w:rsid w:val="00DD10AA"/>
    <w:rsid w:val="00DD1549"/>
    <w:rsid w:val="00DD2DF0"/>
    <w:rsid w:val="00DD7CF6"/>
    <w:rsid w:val="00DE32B6"/>
    <w:rsid w:val="00DE355A"/>
    <w:rsid w:val="00DE3CFD"/>
    <w:rsid w:val="00DE57A5"/>
    <w:rsid w:val="00DF1D5E"/>
    <w:rsid w:val="00DF3100"/>
    <w:rsid w:val="00DF3BE7"/>
    <w:rsid w:val="00DF3EDE"/>
    <w:rsid w:val="00DF61F8"/>
    <w:rsid w:val="00E0176A"/>
    <w:rsid w:val="00E02047"/>
    <w:rsid w:val="00E03573"/>
    <w:rsid w:val="00E0374A"/>
    <w:rsid w:val="00E03F44"/>
    <w:rsid w:val="00E05DA8"/>
    <w:rsid w:val="00E14269"/>
    <w:rsid w:val="00E17D83"/>
    <w:rsid w:val="00E2020C"/>
    <w:rsid w:val="00E20A7F"/>
    <w:rsid w:val="00E230C6"/>
    <w:rsid w:val="00E25DFC"/>
    <w:rsid w:val="00E26019"/>
    <w:rsid w:val="00E26A1B"/>
    <w:rsid w:val="00E275FE"/>
    <w:rsid w:val="00E30303"/>
    <w:rsid w:val="00E303E6"/>
    <w:rsid w:val="00E33374"/>
    <w:rsid w:val="00E33A47"/>
    <w:rsid w:val="00E33BB0"/>
    <w:rsid w:val="00E3475A"/>
    <w:rsid w:val="00E35B80"/>
    <w:rsid w:val="00E37ED7"/>
    <w:rsid w:val="00E41A57"/>
    <w:rsid w:val="00E422BA"/>
    <w:rsid w:val="00E42973"/>
    <w:rsid w:val="00E42E10"/>
    <w:rsid w:val="00E44C6B"/>
    <w:rsid w:val="00E45166"/>
    <w:rsid w:val="00E46150"/>
    <w:rsid w:val="00E4718F"/>
    <w:rsid w:val="00E51EFD"/>
    <w:rsid w:val="00E520F4"/>
    <w:rsid w:val="00E52381"/>
    <w:rsid w:val="00E53AC3"/>
    <w:rsid w:val="00E53AD7"/>
    <w:rsid w:val="00E6061D"/>
    <w:rsid w:val="00E60810"/>
    <w:rsid w:val="00E61C9B"/>
    <w:rsid w:val="00E62AB1"/>
    <w:rsid w:val="00E63112"/>
    <w:rsid w:val="00E634AE"/>
    <w:rsid w:val="00E65E37"/>
    <w:rsid w:val="00E7277B"/>
    <w:rsid w:val="00E73A66"/>
    <w:rsid w:val="00E742E2"/>
    <w:rsid w:val="00E80983"/>
    <w:rsid w:val="00E809C7"/>
    <w:rsid w:val="00E8186D"/>
    <w:rsid w:val="00E82253"/>
    <w:rsid w:val="00E855D2"/>
    <w:rsid w:val="00E869B3"/>
    <w:rsid w:val="00E873ED"/>
    <w:rsid w:val="00E904E7"/>
    <w:rsid w:val="00E929D2"/>
    <w:rsid w:val="00E93276"/>
    <w:rsid w:val="00E93443"/>
    <w:rsid w:val="00E934BE"/>
    <w:rsid w:val="00E93E89"/>
    <w:rsid w:val="00E95734"/>
    <w:rsid w:val="00E96232"/>
    <w:rsid w:val="00E963E6"/>
    <w:rsid w:val="00E970D0"/>
    <w:rsid w:val="00E978BC"/>
    <w:rsid w:val="00E97DC5"/>
    <w:rsid w:val="00EA6AB3"/>
    <w:rsid w:val="00EB1161"/>
    <w:rsid w:val="00EB6619"/>
    <w:rsid w:val="00EC3529"/>
    <w:rsid w:val="00EC3F75"/>
    <w:rsid w:val="00EC5C46"/>
    <w:rsid w:val="00EC6CB3"/>
    <w:rsid w:val="00ED53DC"/>
    <w:rsid w:val="00ED5A64"/>
    <w:rsid w:val="00ED6759"/>
    <w:rsid w:val="00ED6A34"/>
    <w:rsid w:val="00ED7797"/>
    <w:rsid w:val="00EE2ED3"/>
    <w:rsid w:val="00EE5A05"/>
    <w:rsid w:val="00EE62E2"/>
    <w:rsid w:val="00EF0BB6"/>
    <w:rsid w:val="00EF40D4"/>
    <w:rsid w:val="00EF613F"/>
    <w:rsid w:val="00EF629D"/>
    <w:rsid w:val="00EF7180"/>
    <w:rsid w:val="00F0107B"/>
    <w:rsid w:val="00F013F5"/>
    <w:rsid w:val="00F038E0"/>
    <w:rsid w:val="00F0408C"/>
    <w:rsid w:val="00F05C47"/>
    <w:rsid w:val="00F067A5"/>
    <w:rsid w:val="00F124BA"/>
    <w:rsid w:val="00F14D0D"/>
    <w:rsid w:val="00F15449"/>
    <w:rsid w:val="00F2043B"/>
    <w:rsid w:val="00F21E4B"/>
    <w:rsid w:val="00F22D65"/>
    <w:rsid w:val="00F2397E"/>
    <w:rsid w:val="00F23C26"/>
    <w:rsid w:val="00F250C6"/>
    <w:rsid w:val="00F2591A"/>
    <w:rsid w:val="00F26ABE"/>
    <w:rsid w:val="00F26D5B"/>
    <w:rsid w:val="00F2791B"/>
    <w:rsid w:val="00F30741"/>
    <w:rsid w:val="00F30E61"/>
    <w:rsid w:val="00F33DBB"/>
    <w:rsid w:val="00F3404D"/>
    <w:rsid w:val="00F352FB"/>
    <w:rsid w:val="00F36025"/>
    <w:rsid w:val="00F40869"/>
    <w:rsid w:val="00F42693"/>
    <w:rsid w:val="00F43A4E"/>
    <w:rsid w:val="00F44AC9"/>
    <w:rsid w:val="00F50CD2"/>
    <w:rsid w:val="00F51799"/>
    <w:rsid w:val="00F527B4"/>
    <w:rsid w:val="00F54603"/>
    <w:rsid w:val="00F576CD"/>
    <w:rsid w:val="00F64B21"/>
    <w:rsid w:val="00F6508A"/>
    <w:rsid w:val="00F654EB"/>
    <w:rsid w:val="00F701D3"/>
    <w:rsid w:val="00F75643"/>
    <w:rsid w:val="00F76763"/>
    <w:rsid w:val="00F77073"/>
    <w:rsid w:val="00F770D3"/>
    <w:rsid w:val="00F77F9E"/>
    <w:rsid w:val="00F80568"/>
    <w:rsid w:val="00F8348A"/>
    <w:rsid w:val="00F8367D"/>
    <w:rsid w:val="00F83E10"/>
    <w:rsid w:val="00F8463E"/>
    <w:rsid w:val="00F85C55"/>
    <w:rsid w:val="00F87745"/>
    <w:rsid w:val="00F90ACC"/>
    <w:rsid w:val="00F915BF"/>
    <w:rsid w:val="00F92B11"/>
    <w:rsid w:val="00F934CE"/>
    <w:rsid w:val="00F95B07"/>
    <w:rsid w:val="00F965F9"/>
    <w:rsid w:val="00F97766"/>
    <w:rsid w:val="00F9786B"/>
    <w:rsid w:val="00FA17EB"/>
    <w:rsid w:val="00FA1B3C"/>
    <w:rsid w:val="00FA2143"/>
    <w:rsid w:val="00FA2359"/>
    <w:rsid w:val="00FA3549"/>
    <w:rsid w:val="00FA4F40"/>
    <w:rsid w:val="00FA51F2"/>
    <w:rsid w:val="00FA5A69"/>
    <w:rsid w:val="00FA68AF"/>
    <w:rsid w:val="00FA71F8"/>
    <w:rsid w:val="00FC15F2"/>
    <w:rsid w:val="00FC6AD3"/>
    <w:rsid w:val="00FC774F"/>
    <w:rsid w:val="00FC7930"/>
    <w:rsid w:val="00FD1B94"/>
    <w:rsid w:val="00FD2A45"/>
    <w:rsid w:val="00FD53B7"/>
    <w:rsid w:val="00FE0648"/>
    <w:rsid w:val="00FE1589"/>
    <w:rsid w:val="00FE2147"/>
    <w:rsid w:val="00FE2375"/>
    <w:rsid w:val="00FE2DE8"/>
    <w:rsid w:val="00FF0C3B"/>
    <w:rsid w:val="00FF256F"/>
    <w:rsid w:val="00FF28C2"/>
    <w:rsid w:val="00FF4D8F"/>
    <w:rsid w:val="00FF6A8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."/>
  <w:listSeparator w:val=","/>
  <w14:docId w14:val="6C215431"/>
  <w15:docId w15:val="{80A6A11B-882D-4170-B7AA-8C458D20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3B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3B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4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E0"/>
  </w:style>
  <w:style w:type="paragraph" w:styleId="Footer">
    <w:name w:val="footer"/>
    <w:basedOn w:val="Normal"/>
    <w:link w:val="FooterChar"/>
    <w:uiPriority w:val="99"/>
    <w:unhideWhenUsed/>
    <w:rsid w:val="00345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E0"/>
  </w:style>
  <w:style w:type="paragraph" w:styleId="ListParagraph">
    <w:name w:val="List Paragraph"/>
    <w:basedOn w:val="Normal"/>
    <w:uiPriority w:val="34"/>
    <w:qFormat/>
    <w:rsid w:val="00550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BB"/>
    <w:rPr>
      <w:rFonts w:ascii="Tahoma" w:hAnsi="Tahoma" w:cs="Tahoma"/>
      <w:sz w:val="16"/>
      <w:szCs w:val="16"/>
    </w:rPr>
  </w:style>
  <w:style w:type="paragraph" w:customStyle="1" w:styleId="SRLeg2AL1">
    <w:name w:val="SRLeg2A_L1"/>
    <w:basedOn w:val="Normal"/>
    <w:next w:val="Normal"/>
    <w:rsid w:val="005B608F"/>
    <w:pPr>
      <w:numPr>
        <w:numId w:val="26"/>
      </w:num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napToGrid w:val="0"/>
      <w:sz w:val="24"/>
      <w:szCs w:val="20"/>
    </w:rPr>
  </w:style>
  <w:style w:type="paragraph" w:customStyle="1" w:styleId="SRLeg2AL2">
    <w:name w:val="SRLeg2A_L2"/>
    <w:basedOn w:val="Normal"/>
    <w:next w:val="Normal"/>
    <w:link w:val="SRLeg2AL2Char"/>
    <w:rsid w:val="005B608F"/>
    <w:pPr>
      <w:numPr>
        <w:ilvl w:val="1"/>
        <w:numId w:val="26"/>
      </w:numPr>
      <w:spacing w:after="24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RLeg2AL2Char">
    <w:name w:val="SRLeg2A_L2 Char"/>
    <w:basedOn w:val="DefaultParagraphFont"/>
    <w:link w:val="SRLeg2AL2"/>
    <w:rsid w:val="005B608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RLeg2AL3">
    <w:name w:val="SRLeg2A_L3"/>
    <w:basedOn w:val="Normal"/>
    <w:next w:val="Normal"/>
    <w:rsid w:val="005B608F"/>
    <w:pPr>
      <w:numPr>
        <w:ilvl w:val="2"/>
        <w:numId w:val="26"/>
      </w:numPr>
      <w:spacing w:after="24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RLeg2AL4">
    <w:name w:val="SRLeg2A_L4"/>
    <w:basedOn w:val="Normal"/>
    <w:next w:val="Normal"/>
    <w:rsid w:val="005B608F"/>
    <w:pPr>
      <w:numPr>
        <w:ilvl w:val="3"/>
        <w:numId w:val="26"/>
      </w:numPr>
      <w:spacing w:after="240" w:line="240" w:lineRule="auto"/>
      <w:outlineLvl w:val="3"/>
    </w:pPr>
    <w:rPr>
      <w:rFonts w:ascii="Calibri" w:eastAsia="Times New Roman" w:hAnsi="Calibri" w:cs="Times New Roman"/>
      <w:szCs w:val="20"/>
    </w:rPr>
  </w:style>
  <w:style w:type="paragraph" w:customStyle="1" w:styleId="SRLeg2AL5">
    <w:name w:val="SRLeg2A_L5"/>
    <w:basedOn w:val="Normal"/>
    <w:next w:val="Normal"/>
    <w:rsid w:val="005B608F"/>
    <w:pPr>
      <w:numPr>
        <w:ilvl w:val="4"/>
        <w:numId w:val="26"/>
      </w:numPr>
      <w:spacing w:after="240" w:line="240" w:lineRule="auto"/>
      <w:outlineLvl w:val="4"/>
    </w:pPr>
    <w:rPr>
      <w:rFonts w:ascii="Calibri" w:eastAsia="Times New Roman" w:hAnsi="Calibri" w:cs="Times New Roman"/>
      <w:szCs w:val="20"/>
    </w:rPr>
  </w:style>
  <w:style w:type="paragraph" w:customStyle="1" w:styleId="SRLeg2AL6">
    <w:name w:val="SRLeg2A_L6"/>
    <w:basedOn w:val="Normal"/>
    <w:next w:val="Normal"/>
    <w:rsid w:val="005B608F"/>
    <w:pPr>
      <w:numPr>
        <w:ilvl w:val="5"/>
        <w:numId w:val="26"/>
      </w:numPr>
      <w:spacing w:after="240" w:line="240" w:lineRule="auto"/>
      <w:outlineLvl w:val="5"/>
    </w:pPr>
    <w:rPr>
      <w:rFonts w:ascii="Calibri" w:eastAsia="Times New Roman" w:hAnsi="Calibri" w:cs="Times New Roman"/>
      <w:szCs w:val="20"/>
    </w:rPr>
  </w:style>
  <w:style w:type="paragraph" w:customStyle="1" w:styleId="SRLeg2AL7">
    <w:name w:val="SRLeg2A_L7"/>
    <w:basedOn w:val="Normal"/>
    <w:next w:val="Normal"/>
    <w:rsid w:val="005B608F"/>
    <w:pPr>
      <w:numPr>
        <w:ilvl w:val="6"/>
        <w:numId w:val="26"/>
      </w:numPr>
      <w:spacing w:after="240" w:line="240" w:lineRule="auto"/>
      <w:outlineLvl w:val="6"/>
    </w:pPr>
    <w:rPr>
      <w:rFonts w:ascii="Calibri" w:eastAsia="Times New Roman" w:hAnsi="Calibri" w:cs="Times New Roman"/>
      <w:szCs w:val="20"/>
    </w:rPr>
  </w:style>
  <w:style w:type="paragraph" w:customStyle="1" w:styleId="SRLeg2AL8">
    <w:name w:val="SRLeg2A_L8"/>
    <w:basedOn w:val="Normal"/>
    <w:next w:val="Normal"/>
    <w:rsid w:val="005B608F"/>
    <w:pPr>
      <w:numPr>
        <w:ilvl w:val="7"/>
        <w:numId w:val="26"/>
      </w:numPr>
      <w:spacing w:after="240" w:line="240" w:lineRule="auto"/>
      <w:outlineLvl w:val="7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844C-A1DB-4636-BAB7-7DF9943B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Hammrich, Jeremy</dc:creator>
  <cp:lastModifiedBy>Amie Johnson</cp:lastModifiedBy>
  <cp:revision>165</cp:revision>
  <cp:lastPrinted>2020-12-23T21:24:00Z</cp:lastPrinted>
  <dcterms:created xsi:type="dcterms:W3CDTF">2025-03-18T21:28:00Z</dcterms:created>
  <dcterms:modified xsi:type="dcterms:W3CDTF">2025-06-05T23:57:00Z</dcterms:modified>
</cp:coreProperties>
</file>